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3" w:lineRule="auto"/>
      </w:pPr>
      <w:r>
        <w:rPr>
          <w:rFonts w:ascii="Arial" w:hAnsi="Arial" w:eastAsia="Microsoft YaHei"/>
          <w:b/>
          <w:color w:val="0F7895"/>
          <w:sz w:val="24"/>
        </w:rPr>
        <w:t>业务验收测试手册</w:t>
      </w:r>
    </w:p>
    <w:p>
      <w:pPr>
        <w:pStyle w:val="Title"/>
        <w:jc w:val="left"/>
      </w:pPr>
      <w:r>
        <w:rPr>
          <w:rFonts w:ascii="Arial" w:hAnsi="Arial" w:eastAsia="Microsoft YaHei"/>
          <w:b/>
          <w:color w:val="16324F"/>
          <w:sz w:val="50"/>
        </w:rPr>
        <w:t>Freight Customer Portal V1</w:t>
        <w:br/>
        <w:t>核心业务全流程测试</w:t>
      </w:r>
    </w:p>
    <w:p>
      <w:pPr>
        <w:spacing w:before="0" w:after="440" w:line="283" w:lineRule="auto"/>
      </w:pPr>
      <w:r>
        <w:rPr>
          <w:rFonts w:ascii="Arial" w:hAnsi="Arial" w:eastAsia="Microsoft YaHei"/>
          <w:b w:val="0"/>
          <w:color w:val="5B6770"/>
          <w:sz w:val="24"/>
        </w:rPr>
        <w:t>Rate → Quote → Booking → Shipment → Tracking / Document → Invoice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20"/>
              </w:rPr>
              <w:t xml:space="preserve">测试定位  </w:t>
            </w:r>
            <w:r>
              <w:rPr>
                <w:rFonts w:ascii="Arial" w:hAnsi="Arial" w:eastAsia="Microsoft YaHei"/>
                <w:b w:val="0"/>
                <w:color w:val="16324F"/>
                <w:sz w:val="20"/>
              </w:rPr>
              <w:t>用于内部业务走查和首轮 UAT。请严格通过页面和业务动作执行，不直接修改数据库。发现问题时保留截图、业务编号和发生时间。</w:t>
            </w:r>
          </w:p>
        </w:tc>
      </w:tr>
    </w:tbl>
    <w:p>
      <w:pPr>
        <w:spacing w:after="20"/>
      </w:pP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765"/>
      </w:tblGrid>
      <w:tr>
        <w:trPr>
          <w:tblHeader w:val="true"/>
          <w:cantSplit/>
        </w:trPr>
        <w:tc>
          <w:tcPr>
            <w:tcW w:type="dxa" w:w="22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测试环境</w:t>
            </w:r>
          </w:p>
        </w:tc>
        <w:tc>
          <w:tcPr>
            <w:tcW w:type="dxa" w:w="77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□ 本地  □ 测试服务器  地址：____________________________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测试日期</w:t>
            </w:r>
          </w:p>
        </w:tc>
        <w:tc>
          <w:tcPr>
            <w:tcW w:type="dxa" w:w="77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__________-____-____    开始：____:____    结束：____:____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测试执行人</w:t>
            </w:r>
          </w:p>
        </w:tc>
        <w:tc>
          <w:tcPr>
            <w:tcW w:type="dxa" w:w="77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系统版本 / Commit</w:t>
            </w:r>
          </w:p>
        </w:tc>
        <w:tc>
          <w:tcPr>
            <w:tcW w:type="dxa" w:w="77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租户代码</w:t>
            </w:r>
          </w:p>
        </w:tc>
        <w:tc>
          <w:tcPr>
            <w:tcW w:type="dxa" w:w="77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DEMO / ____________________________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总体结论</w:t>
            </w:r>
          </w:p>
        </w:tc>
        <w:tc>
          <w:tcPr>
            <w:tcW w:type="dxa" w:w="77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9"/>
              </w:rPr>
              <w:t>□ 通过  □ 有条件通过  □ 不通过  □ 阻塞</w:t>
            </w:r>
          </w:p>
        </w:tc>
      </w:tr>
    </w:tbl>
    <w:p>
      <w:pPr>
        <w:spacing w:after="20"/>
      </w:pPr>
    </w:p>
    <w:p>
      <w:pPr>
        <w:spacing w:before="400" w:after="100" w:line="283" w:lineRule="auto"/>
      </w:pPr>
      <w:r>
        <w:rPr>
          <w:rFonts w:ascii="Arial" w:hAnsi="Arial" w:eastAsia="Microsoft YaHei"/>
          <w:b w:val="0"/>
          <w:color w:val="5B6770"/>
          <w:sz w:val="17"/>
        </w:rPr>
        <w:t>文档版本 V1.0  ·  依据批准 PRD、技术设计、数据库/ERD 设计及现有阶段验收清单编制</w:t>
      </w:r>
    </w:p>
    <w:p>
      <w:r>
        <w:br w:type="page"/>
      </w:r>
    </w:p>
    <w:p>
      <w:pPr>
        <w:pStyle w:val="Heading1"/>
      </w:pPr>
      <w:r>
        <w:t>1. 使用说明与通过标准</w:t>
      </w:r>
    </w:p>
    <w:p>
      <w:pPr>
        <w:spacing w:before="0" w:after="100" w:line="283" w:lineRule="auto"/>
      </w:pPr>
      <w:r>
        <w:rPr>
          <w:rFonts w:ascii="Arial" w:hAnsi="Arial" w:eastAsia="Microsoft YaHei"/>
          <w:b w:val="0"/>
          <w:color w:val="1F2933"/>
          <w:sz w:val="20"/>
        </w:rPr>
        <w:t>本手册以一票真实业务逻辑为主线，要求内部管理员、客户用户、操作人员和财务人员依次完成全部动作。测试结束时，应能从每个业务编号追溯到上一环节，并确认客户只能看到其公司范围内、允许外部查看的数据。</w:t>
      </w:r>
    </w:p>
    <w:p>
      <w:pPr>
        <w:pStyle w:val="Heading2"/>
      </w:pPr>
      <w:r>
        <w:t>1.1 建议执行方式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第一次执行使用模拟或脱敏数据；文件使用专门测试 PDF，不包含真实敏感资料。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准备两个浏览器或一个普通窗口加一个无痕窗口，分别保持内部账号和客户账号登录。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每完成一个阶段，记录 Rate No.、Quote No.、Booking No.、Shipment No.、Invoice No.。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遇到失败不要直接绕过；记录时间、页面、账号、业务编号、操作、错误文字和截图。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除明确的负向测试外，主流程必须从头顺序执行，禁止使用数据库修改状态。</w:t>
      </w:r>
    </w:p>
    <w:p>
      <w:pPr>
        <w:pStyle w:val="Heading2"/>
      </w:pPr>
      <w:r>
        <w:t>1.2 核心通过标准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业务人员无需开发人员修改数据库即可走完整条链。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金额、币种、数量、日期、客户、航线和文件在上下游保持正确且可追溯。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非法状态跳转、越权访问、隐藏文件访问均被服务端拒绝。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客户侧不显示采购成本、供应商、内部备注或其他客户数据。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关键状态、价格、文件和账单动作产生审计记录。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不存在阻断主流程的 P0/P1 缺陷；业务负责人完成结论签署。</w:t>
      </w:r>
    </w:p>
    <w:p>
      <w:pPr>
        <w:pStyle w:val="Heading2"/>
      </w:pPr>
      <w:r>
        <w:t>1.3 缺陷等级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5000"/>
        <w:gridCol w:w="4065"/>
      </w:tblGrid>
      <w:tr>
        <w:trPr>
          <w:tblHeader w:val="true"/>
          <w:cantSplit/>
        </w:trPr>
        <w:tc>
          <w:tcPr>
            <w:tcW w:type="dxa" w:w="9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40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数据泄露、数据损坏、系统不可用</w:t>
            </w:r>
          </w:p>
        </w:tc>
        <w:tc>
          <w:tcPr>
            <w:tcW w:type="dxa" w:w="4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立即停止测试并升级处理</w:t>
            </w:r>
          </w:p>
        </w:tc>
      </w:tr>
      <w:tr>
        <w:trPr>
          <w:cantSplit/>
        </w:trPr>
        <w:tc>
          <w:tcPr>
            <w:tcW w:type="dxa" w:w="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P1</w:t>
            </w:r>
          </w:p>
        </w:tc>
        <w:tc>
          <w:tcPr>
            <w:tcW w:type="dxa" w:w="50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核心流程无法继续、金额错误、权限或状态规则失效</w:t>
            </w:r>
          </w:p>
        </w:tc>
        <w:tc>
          <w:tcPr>
            <w:tcW w:type="dxa" w:w="4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阻塞试点，修复后完整复验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P2</w:t>
            </w:r>
          </w:p>
        </w:tc>
        <w:tc>
          <w:tcPr>
            <w:tcW w:type="dxa" w:w="5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有替代路径，但明显影响业务效率或可理解性</w:t>
            </w:r>
          </w:p>
        </w:tc>
        <w:tc>
          <w:tcPr>
            <w:tcW w:type="dxa" w:w="4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记录并排期，相关步骤复验</w:t>
            </w:r>
          </w:p>
        </w:tc>
      </w:tr>
      <w:tr>
        <w:trPr>
          <w:cantSplit/>
        </w:trPr>
        <w:tc>
          <w:tcPr>
            <w:tcW w:type="dxa" w:w="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P3</w:t>
            </w:r>
          </w:p>
        </w:tc>
        <w:tc>
          <w:tcPr>
            <w:tcW w:type="dxa" w:w="50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文案、样式或低影响体验问题</w:t>
            </w:r>
          </w:p>
        </w:tc>
        <w:tc>
          <w:tcPr>
            <w:tcW w:type="dxa" w:w="4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进入优化清单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测试前准备</w:t>
      </w:r>
    </w:p>
    <w:p>
      <w:pPr>
        <w:pStyle w:val="Heading2"/>
      </w:pPr>
      <w:r>
        <w:t>2.1 环境检查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Web 页面可打开，API health/readiness 正常。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PostgreSQL、Redis、Worker 和 S3/MinIO 对象存储已启动。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数据库 migration 已应用；测试权限和测试账号已准备。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浏览器允许下载文件；测试期间保留开发者控制台错误截图。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邮件功能当前如为 log 模式，不把实际收到邮件作为核心流程通过条件。</w:t>
      </w:r>
    </w:p>
    <w:p>
      <w:pPr>
        <w:pStyle w:val="Heading2"/>
      </w:pPr>
      <w:r>
        <w:t>2.2 测试账号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4100"/>
        <w:gridCol w:w="10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租户 / 邮箱</w:t>
            </w:r>
          </w:p>
        </w:tc>
        <w:tc>
          <w:tcPr>
            <w:tcW w:type="dxa" w:w="41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0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可登录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DEMO / admin@demo.freight.local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Rate、Quote、Booking、Shipment、Invoice 后台操作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Customer Admin</w:t>
            </w:r>
          </w:p>
        </w:tc>
        <w:tc>
          <w:tcPr>
            <w:tcW w:type="dxa" w:w="30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DEMO / customer@demo.freight.local</w:t>
            </w:r>
          </w:p>
        </w:tc>
        <w:tc>
          <w:tcPr>
            <w:tcW w:type="dxa" w:w="4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客户查价、接受报价、订舱、查货、确认账单</w:t>
            </w:r>
          </w:p>
        </w:tc>
        <w:tc>
          <w:tcPr>
            <w:tcW w:type="dxa" w:w="1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Operation（如有）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________________________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Booking 审核、SO、Shipment、Tracking、BL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Finance（如有）</w:t>
            </w:r>
          </w:p>
        </w:tc>
        <w:tc>
          <w:tcPr>
            <w:tcW w:type="dxa" w:w="30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________________________</w:t>
            </w:r>
          </w:p>
        </w:tc>
        <w:tc>
          <w:tcPr>
            <w:tcW w:type="dxa" w:w="4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Invoice 创建、发布、收款</w:t>
            </w:r>
          </w:p>
        </w:tc>
        <w:tc>
          <w:tcPr>
            <w:tcW w:type="dxa" w:w="1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另一租户/客户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________________________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越权负向测试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</w:tbl>
    <w:p>
      <w:pPr>
        <w:spacing w:after="20"/>
      </w:pP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A12622"/>
                <w:sz w:val="20"/>
              </w:rPr>
              <w:t xml:space="preserve">账号安全  </w:t>
            </w:r>
            <w:r>
              <w:rPr>
                <w:rFonts w:ascii="Arial" w:hAnsi="Arial" w:eastAsia="Microsoft YaHei"/>
                <w:b w:val="0"/>
                <w:color w:val="A12622"/>
                <w:sz w:val="20"/>
              </w:rPr>
              <w:t>不要在文档中填写真实密码。DEMO 密码仅用于本地开发，不应直接用于共享测试环境。</w:t>
            </w:r>
          </w:p>
        </w:tc>
      </w:tr>
    </w:tbl>
    <w:p>
      <w:pPr>
        <w:spacing w:after="20"/>
      </w:pPr>
    </w:p>
    <w:p>
      <w:pPr>
        <w:pStyle w:val="Heading2"/>
      </w:pPr>
      <w:r>
        <w:t>2.3 主流程测试数据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3900"/>
        <w:gridCol w:w="3865"/>
      </w:tblGrid>
      <w:tr>
        <w:trPr>
          <w:tblHeader w:val="true"/>
          <w:cantSplit/>
        </w:trPr>
        <w:tc>
          <w:tcPr>
            <w:tcW w:type="dxa" w:w="22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9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建议测试值</w:t>
            </w:r>
          </w:p>
        </w:tc>
        <w:tc>
          <w:tcPr>
            <w:tcW w:type="dxa" w:w="38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实际使用值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POL / POD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CNSHA / USLGB</w:t>
            </w:r>
          </w:p>
        </w:tc>
        <w:tc>
          <w:tcPr>
            <w:tcW w:type="dxa" w:w="3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Carrier / Service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E2E / Golden Path</w:t>
            </w:r>
          </w:p>
        </w:tc>
        <w:tc>
          <w:tcPr>
            <w:tcW w:type="dxa" w:w="3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ETD / ETA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当前日期 +7天 / +25天</w:t>
            </w:r>
          </w:p>
        </w:tc>
        <w:tc>
          <w:tcPr>
            <w:tcW w:type="dxa" w:w="3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Container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40HQ × 2</w:t>
            </w:r>
          </w:p>
        </w:tc>
        <w:tc>
          <w:tcPr>
            <w:tcW w:type="dxa" w:w="3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Cost / Standard Sell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USD 1,000.00 / 1,250.00</w:t>
            </w:r>
          </w:p>
        </w:tc>
        <w:tc>
          <w:tcPr>
            <w:tcW w:type="dxa" w:w="3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Charge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DOC / PER_BL / USD 75.00</w:t>
            </w:r>
          </w:p>
        </w:tc>
        <w:tc>
          <w:tcPr>
            <w:tcW w:type="dxa" w:w="3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Commodity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Consumer goods</w:t>
            </w:r>
          </w:p>
        </w:tc>
        <w:tc>
          <w:tcPr>
            <w:tcW w:type="dxa" w:w="3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Packages / Weight / Volume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120 / 18,500.00 KG / 62.50 CBM</w:t>
            </w:r>
          </w:p>
        </w:tc>
        <w:tc>
          <w:tcPr>
            <w:tcW w:type="dxa" w:w="3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SO / BL / Invoice PDF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小于 10 MB 的测试 PDF</w:t>
            </w:r>
          </w:p>
        </w:tc>
        <w:tc>
          <w:tcPr>
            <w:tcW w:type="dxa" w:w="3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测试数据追踪卡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20"/>
              </w:rPr>
              <w:t xml:space="preserve">先填写  </w:t>
            </w:r>
            <w:r>
              <w:rPr>
                <w:rFonts w:ascii="Arial" w:hAnsi="Arial" w:eastAsia="Microsoft YaHei"/>
                <w:b w:val="0"/>
                <w:color w:val="16324F"/>
                <w:sz w:val="20"/>
              </w:rPr>
              <w:t>每创建一个对象立即记录编号和状态。后续发生问题时，这张卡是定位数据链的核心证据。</w:t>
            </w:r>
          </w:p>
        </w:tc>
      </w:tr>
    </w:tbl>
    <w:p>
      <w:pPr>
        <w:spacing w:after="20"/>
      </w:pP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1900"/>
        <w:gridCol w:w="2500"/>
        <w:gridCol w:w="2300"/>
        <w:gridCol w:w="1565"/>
      </w:tblGrid>
      <w:tr>
        <w:trPr>
          <w:tblHeader w:val="true"/>
          <w:cantSplit/>
        </w:trPr>
        <w:tc>
          <w:tcPr>
            <w:tcW w:type="dxa" w:w="17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业务对象</w:t>
            </w:r>
          </w:p>
        </w:tc>
        <w:tc>
          <w:tcPr>
            <w:tcW w:type="dxa" w:w="19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业务编号</w:t>
            </w:r>
          </w:p>
        </w:tc>
        <w:tc>
          <w:tcPr>
            <w:tcW w:type="dxa" w:w="25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数据库/页面 ID（可选）</w:t>
            </w:r>
          </w:p>
        </w:tc>
        <w:tc>
          <w:tcPr>
            <w:tcW w:type="dxa" w:w="23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最终状态</w:t>
            </w:r>
          </w:p>
        </w:tc>
        <w:tc>
          <w:tcPr>
            <w:tcW w:type="dxa" w:w="15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证据编号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Rate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ACTIVE</w:t>
            </w:r>
          </w:p>
        </w:tc>
        <w:tc>
          <w:tcPr>
            <w:tcW w:type="dxa" w:w="1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Quote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BOOKED</w:t>
            </w:r>
          </w:p>
        </w:tc>
        <w:tc>
          <w:tcPr>
            <w:tcW w:type="dxa" w:w="15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Booking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SO_RELEASED</w:t>
            </w:r>
          </w:p>
        </w:tc>
        <w:tc>
          <w:tcPr>
            <w:tcW w:type="dxa" w:w="1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Shipment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COMPLETED / ______</w:t>
            </w:r>
          </w:p>
        </w:tc>
        <w:tc>
          <w:tcPr>
            <w:tcW w:type="dxa" w:w="15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Container 1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—</w:t>
            </w:r>
          </w:p>
        </w:tc>
        <w:tc>
          <w:tcPr>
            <w:tcW w:type="dxa" w:w="1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Container 2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—</w:t>
            </w:r>
          </w:p>
        </w:tc>
        <w:tc>
          <w:tcPr>
            <w:tcW w:type="dxa" w:w="15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SO Document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ACTIVE</w:t>
            </w:r>
          </w:p>
        </w:tc>
        <w:tc>
          <w:tcPr>
            <w:tcW w:type="dxa" w:w="1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BL Document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ACTIVE</w:t>
            </w:r>
          </w:p>
        </w:tc>
        <w:tc>
          <w:tcPr>
            <w:tcW w:type="dxa" w:w="15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Invoice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________________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PAID / ______</w:t>
            </w:r>
          </w:p>
        </w:tc>
        <w:tc>
          <w:tcPr>
            <w:tcW w:type="dxa" w:w="1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________</w:t>
            </w:r>
          </w:p>
        </w:tc>
      </w:tr>
    </w:tbl>
    <w:p>
      <w:pPr>
        <w:spacing w:after="20"/>
      </w:pPr>
    </w:p>
    <w:p>
      <w:pPr>
        <w:pStyle w:val="Heading2"/>
      </w:pPr>
      <w:r>
        <w:t>主流程状态检查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8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应经过的状态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Quote</w:t>
            </w:r>
          </w:p>
        </w:tc>
        <w:tc>
          <w:tcPr>
            <w:tcW w:type="dxa" w:w="8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DRAFT → SENT → VIEWED → ACCEPTED → BOOKED</w:t>
            </w:r>
          </w:p>
        </w:tc>
      </w:tr>
      <w:tr>
        <w:trPr>
          <w:cantSplit/>
        </w:trPr>
        <w:tc>
          <w:tcPr>
            <w:tcW w:type="dxa" w:w="18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Booking</w:t>
            </w:r>
          </w:p>
        </w:tc>
        <w:tc>
          <w:tcPr>
            <w:tcW w:type="dxa" w:w="81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DRAFT → SUBMITTED → UNDER_REVIEW → CONFIRMED → SO_RELEASED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Shipment</w:t>
            </w:r>
          </w:p>
        </w:tc>
        <w:tc>
          <w:tcPr>
            <w:tcW w:type="dxa" w:w="8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PLANNED → IN_PROGRESS → DEPARTED → ARRIVED → COMPLETED</w:t>
            </w:r>
          </w:p>
        </w:tc>
      </w:tr>
      <w:tr>
        <w:trPr>
          <w:cantSplit/>
        </w:trPr>
        <w:tc>
          <w:tcPr>
            <w:tcW w:type="dxa" w:w="18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Invoice</w:t>
            </w:r>
          </w:p>
        </w:tc>
        <w:tc>
          <w:tcPr>
            <w:tcW w:type="dxa" w:w="81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DRAFT → ISSUED → CUSTOMER_CONFIRMED → PAID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Rate：后台创建运价</w:t>
      </w:r>
    </w:p>
    <w:p>
      <w:pPr>
        <w:pStyle w:val="Heading2"/>
      </w:pPr>
      <w:r>
        <w:t>CORE-001  创建有效 Rate 和附加费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/admin/rates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CNSHA → USLGB；40HQ；USD；Cost 1,000.00；Sell 1,250.00；DOC 75.00/PER_BL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使用内部管理员登录，进入 Admin → Rates。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点击新建 Rate，填写唯一 Rate No.、POL、POD、Carrier、Service、有效期、ETD、Transit Days、供应方和币种。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添加 40HQ 箱型价格，填写 Cost Amount 与 Sell Amount。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添加 DOC 附加费：PER_BL、USD 75.00、Not Included。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保存后从列表搜索刚创建的 Rate，并打开编辑视图复核。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必填项缺失、无效金额或失效日早于生效日时不能保存。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保存成功，Rate 出现在列表，状态为 ACTIVE，金额与币种显示正确。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采购成本、标准售价和附加费仅在内部后台可见。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筛选 POL、POD、Carrier、Container Type、Status 均可找到该 Rate。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创建动作可在 AuditLog 中追溯。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NEG-001  Rate 基础校验负向测试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/admin/rates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重复箱型、非法币种、负金额、错误日期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依次尝试提交重复 40HQ、负金额、失效日早于生效日的数据。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每次记录页面提示；取消测试草稿，不污染主流程数据。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前端或后端返回明确错误。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失败操作不产生半条 Rate/RatePrice/RateCharge 数据。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Customer Rate Search → Quote</w:t>
      </w:r>
    </w:p>
    <w:p>
      <w:pPr>
        <w:pStyle w:val="Heading2"/>
      </w:pPr>
      <w:r>
        <w:t>CORE-002  客户查价并确认销售价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/portal/rates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使用 CORE-001 的航线、ETD 范围、40HQ、Carrier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切换到客户账号，进入 Portal → Rates。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输入 POL、POD、ETD 日期范围和 40HQ，执行搜索。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增加 Carrier 条件再次搜索，并确认目标 Rate 仍存在。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记录销售价、附加费、币种、航线、ETD、有效期。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检查页面和网络响应中是否出现 Cost、Supplier、Contract No. 或内部备注。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只返回当前租户 ACTIVE 且日期有效的运价。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客户看到的主运价为客户加价后的最终销售价，计算符合客户配置。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DOC 附加费按 PER_BL 数量 1 汇总，且币种一致。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客户看不到采购成本、供应商、合约号、内部备注及加价参数。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无结果查询显示明确空状态，不报系统错误。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CORE-003  生成 Quote 并验证价格快照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 Admin +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/portal/rates → /portal/quotes；/admin/rates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选择 CORE-002 的查询结果</w:t>
            </w:r>
          </w:p>
        </w:tc>
      </w:tr>
    </w:tbl>
    <w:p>
      <w:pPr>
        <w:spacing w:after="20"/>
      </w:pP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3D6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8A5A00"/>
                <w:sz w:val="20"/>
              </w:rPr>
              <w:t xml:space="preserve">注意  </w:t>
            </w:r>
            <w:r>
              <w:rPr>
                <w:rFonts w:ascii="Arial" w:hAnsi="Arial" w:eastAsia="Microsoft YaHei"/>
                <w:b w:val="0"/>
                <w:color w:val="8A5A00"/>
                <w:sz w:val="20"/>
              </w:rPr>
              <w:t>主流程后续只使用第一份 Quote。若改价影响了首份 Quote，应记录 P1 并停止主流程。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客户点击生成报价，记录 Quote No.、主运价、附加费、Total 和 Valid Until。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内部管理员打开源 Rate，把 Sell Amount 修改为另一个值并保存。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客户刷新原 Quote，重新记录金额。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客户返回查价，用同一 Rate 再生成一份新 Quote，记录金额。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首份 Quote 金额与生成时查价结果一致。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修改源 Rate 后，首份 Quote 金额不变化。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新 Quote 使用修改后的 Rate 和客户加价结果。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 Quote 页面不显示 Cost 快照。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Quote 编号租户内唯一，金额和币种格式正确。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Quote 状态、PDF 与客户接受</w:t>
      </w:r>
    </w:p>
    <w:p>
      <w:pPr>
        <w:pStyle w:val="Heading2"/>
      </w:pPr>
      <w:r>
        <w:t>CORE-004  内部发送 Quote，客户查看 PDF 并接受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Tenant Admin → 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/admin/quotes → /portal/quotes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使用 CORE-003 的第一份 Quote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内部管理员打开 Quote 详情，确认客户、航线、箱型、费用和有效期。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如系统允许 Draft 手工改价，用测试原因修改后保存；确认原价、改后价、操作者、时间和原因可追溯。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执行 Send Quote，记录状态。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客户打开 Quote 详情，确认状态变为 VIEWED。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下载 Quote PDF，打开并核对租户、客户、航线、费用、总价和有效期。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客户点击 Accept；重复点击或刷新页面，检查幂等表现。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状态按 DRAFT → SENT → VIEWED → ACCEPTED 变化。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PDF 可下载并打开，内容与页面及价格快照一致。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手工改价必须有原因，且保留 original/final/operator/time/version。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接受操作写入 acceptedAt，重复接受不会产生重复副作用。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状态动作可在 AuditLog 中追溯。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NEG-002  Quote 非法状态与过期保护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 Admin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Quote 详情/API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另建一份测试 Quote，不使用主流程 Quote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尝试接受未发送、已拒绝或已过期 Quote。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尝试对已 ACCEPTED Quote 再执行不允许的状态动作。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非法动作被服务端拒绝并给出清晰提示。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原 Quote 状态与数据不被错误修改。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Quote → Booking：客户订舱</w:t>
      </w:r>
    </w:p>
    <w:p>
      <w:pPr>
        <w:pStyle w:val="Heading2"/>
      </w:pPr>
      <w:r>
        <w:t>CORE-005  从 Accepted Quote 创建 Booking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/portal/quotes/{id}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使用 CORE-004 的 ACCEPTED Quote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点击 Book this shipment / 创建订舱。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记录 Booking No.，核对继承的 Route、Carrier、ETD 和 Equipment。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返回 Quote，确认 Quote 状态为 BOOKED。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再次尝试从同一 Quote 创建 Booking。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创建一份 DRAFT Booking，业务编号租户内唯一。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Booking 正确继承 Quote 快照，不要求重复填写已知航线数据。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Quote 与 Booking 在同一业务动作中完成关联，Quote 状态为 BOOKED。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重复转单不会创建第二份常规 V1 Booking。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CORE-006  填写 Booking 草稿并提交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/portal/bookings/{id}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Commodity=Consumer goods；Packages=120；Gross Weight=18,500.00；Volume=62.50；40HQ×2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填写品名、件数、毛重、体积、危险品标记、发货人名称/地址、联系人姓名/邮箱/电话。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填写 40HQ 数量 2，保存草稿并刷新页面。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暂时清空一个必填字段并尝试 Submit，记录提示。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恢复完整数据，再执行 Submit Booking。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草稿保存后刷新不丢失数据，数值和单位显示正确。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缺少必填字段时服务端拒绝提交并指出字段。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数量、重量、体积必须满足业务校验，重复箱型被拒绝。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提交成功，状态 DRAFT → SUBMITTED，并记录 submittedAt。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提交后不可继续按草稿方式随意修改。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Booking 审核、确认与 SO</w:t>
      </w:r>
    </w:p>
    <w:p>
      <w:pPr>
        <w:pStyle w:val="Heading2"/>
      </w:pPr>
      <w:r>
        <w:t>CORE-007  内部审核并确认 Booking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/admin/bookings/{id}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使用 CORE-006 的 SUBMITTED Booking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内部账号打开 Booking，核对客户、航线、箱型、货物和联系人。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执行 Start Review / Review，填写备注。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确认状态为 UNDER_REVIEW 后执行 Confirm，填写确认备注。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检查状态时间和审计记录。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合法状态为 SUBMITTED → UNDER_REVIEW → CONFIRMED。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每次状态变化记录操作者、时间、备注和 before/after。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客户刷新 Booking 后可看到最新状态，但不能执行内部确认动作。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服务端权限为最终边界，不仅依靠隐藏按钮。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CORE-008  上传并放出 SO，客户下载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 → 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/admin/bookings/{id} → /portal/bookings/{id}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PDF/PNG/JPEG，小于 10 MB，文件名 SO-UAT-001.pdf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内部账号在 CONFIRMED Booking 上传合法 SO。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记录 Document 文件名、版本、状态和客户可见性。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客户刷新 Booking，找到 SO 并下载。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打开下载文件，核对文件名、MIME 类型和内容。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SO 存入对象存储，数据库仅保存 Document 元数据。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Document 类型为 SO、版本从 1 开始、customerVisible=true、状态 ACTIVE。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Booking 原子更新为 SO_RELEASED。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客户可下载正确文件；上传和下载均可审计。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NEG-003  SO 文件校验与可见性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Booking Document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空文件、不支持格式、&gt;10 MB；customerVisible=false 文件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分别尝试上传非法文件。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准备内部隐藏文件后，以客户账号查看列表并尝试直接访问文件 ID。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非法文件被拒绝且 Booking 状态不变。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隐藏文件不出现在客户列表，直接猜 ID 也不能下载。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Shipment 建档与基础资料</w:t>
      </w:r>
    </w:p>
    <w:p>
      <w:pPr>
        <w:pStyle w:val="Heading2"/>
      </w:pPr>
      <w:r>
        <w:t>CORE-009  从 SO Released Booking 创建 Shipment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/admin/bookings/{id}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Vessel=GOLDEN STAR；Voyage=GP-UAT01；ETA=当前日期+25天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在 SO_RELEASED Booking 点击 Create Shipment。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填写 Vessel、Voyage 和 ETA 并保存。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记录 Shipment No.，打开 Shipment 详情。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核对 Customer、Booking、POL/POD、Carrier、ETD/ETA。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再次尝试从同一 Booking 创建 Shipment。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Shipment 初始状态为 PLANNED，编号租户内唯一。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客户、航线、船司和 ETD 快照正确，与 Booking 关联正确。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V1 常规路径阻止重复建 Shipment。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客户在自己的 Shipment 列表能看到该 Shipment。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CORE-010  维护 Shipment 船期与提单号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/admin/shipments/{id}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Vessel/Voyage；ETD/ETA；MBL/HBL 测试编号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编辑 Vessel、Voyage、ETD、ETA、MBL 和 HBL。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保存并刷新，检查显示值。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切换客户账号，确认允许外部展示的信息正确。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数据保存成功，日期和编号未丢失。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客户只能查看只读详情，不能看到内部维护控件。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Shipment 更新动作可追溯。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Container、Tracking 与 Shipment 状态</w:t>
      </w:r>
    </w:p>
    <w:p>
      <w:pPr>
        <w:pStyle w:val="Heading2"/>
      </w:pPr>
      <w:r>
        <w:t>CORE-011  添加两个 Container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/admin/shipments/{id}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EAEA1234567 / SEAL-1；EAEB1234568 / SEAL-2；40HQ；VGM 19,000.00 KG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添加第一个 40HQ Container，填写柜号、封条号和 VGM。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添加第二个 Container。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刷新详情并核对两个柜的信息。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尝试提交格式错误的柜号，记录提示。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两个 Container 均关联当前 Shipment 和租户。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柜号格式、箱型和 VGM 校验正确。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 Shipment 详情能看到允许展示的 Container 信息。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无内部维护权限的客户不能新增或修改 Container。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CORE-012  推进 Shipment 并追加客户可见节点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/admin/shipments/{id}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节点 VESSEL_DEPARTED；地点 CNSHA/Shanghai；客户可见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执行 Start Shipment，使状态 PLANNED → IN_PROGRESS。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执行 Depart，使状态 IN_PROGRESS → DEPARTED。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追加一个客户可见 Tracking Event，填写事件时间、地点和备注。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再追加一个 customerVisible=false 的内部节点。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客户刷新 Shipment Timeline。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状态动作符合服务端状态机并生成系统节点/审计。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TrackingEvent 按时间展示且保留历史，不覆盖旧节点。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客户看到客户可见节点和备注。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客户看不到内部节点。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客户不能执行 Shipment 状态动作或追加 Tracking Event。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NEG-004  Shipment 非法状态跳转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Shipment 状态动作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使用单独 Shipment 或在当前允许的安全节点执行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尝试跳过状态直接 Arrive/Complete，或对终态重复执行动作。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非法跳转被服务端拒绝。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Shipment 当前状态和历史事件未被污染。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BL 文档版本与客户下载</w:t>
      </w:r>
    </w:p>
    <w:p>
      <w:pPr>
        <w:pStyle w:val="Heading2"/>
      </w:pPr>
      <w:r>
        <w:t>CORE-013  上传客户可见 FINAL_BL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 → 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/admin/shipments/{id} → /portal/shipments/{id}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BL-UAT-v1.pdf；类型 FINAL_BL；customerVisible=true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内部账号上传 FINAL_BL v1，设置客户可见。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客户刷新 Shipment Documents，下载并打开文件。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内部账号上传同类型 v2。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客户再次刷新，只下载当前有效版本。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v1 首次为 ACTIVE，客户可见且可下载。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v2 版本号递增并成为 ACTIVE，v1 变为 SUPERSEDED。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客户只看到/下载当前允许的有效版本。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文件下载执行 tenant、customer、visibility、status 授权。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上传和下载操作均可审计。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NEG-005  隐藏 BL 与跨租户文件访问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 Admin + 另一租户账号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Document 下载 URL/API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customerVisible=false 文件；当前 BL Document ID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上传一个内部 DRAFT_BL/OTHER 文件并设为不可见。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客户尝试访问隐藏文件。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另一租户账号尝试访问当前 FINAL_BL ID。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隐藏文件对客户不可见且不能直接下载。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另一租户返回未找到/无权限，不泄露对象存在性。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拒绝访问产生安全审计。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Invoice / Billing</w:t>
      </w:r>
    </w:p>
    <w:p>
      <w:pPr>
        <w:pStyle w:val="Heading2"/>
      </w:pPr>
      <w:r>
        <w:t>CORE-014  从 Shipment 创建 Draft Invoice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Finance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/admin/invoices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Ocean Freight: 2×650.00；DOC: 1×75.00；Tax 25.00；USD；Due Date +30天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从当前 Shipment 创建 Invoice。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添加 Ocean Freight 和 DOC 两条费用行。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填写 Currency、Tax Amount 和 Due Date 后保存。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记录 Invoice No.，核对每行金额、Subtotal 和 Total。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Invoice 自动继承 Shipment 的 Customer，不允许指定其他客户。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行金额分别为 USD 1,300.00 和 USD 75.00。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Subtotal=USD 1,375.00；Total=USD 1,400.00。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权威金额使用 Decimal，金额和币种显示完整。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Invoice、InvoiceLine、编号和 AuditLog 一致创建。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CORE-015  上传 Invoice 附件并发布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Finance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/admin/invoices/{id}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INVOICE-UAT-v1.pdf；后续上传 v2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为 Draft Invoice 上传 PDF 附件。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再上传同类型的新版本，检查版本和旧文件状态。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执行 Issue Invoice。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记录 issuedAt 和通知状态（若生产邮件未启用，仅记录站内/消息日志）。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附件固定关联当前 Invoice、Tenant 和 Customer，且客户可见。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新版本 ACTIVE，旧版本 SUPERSEDED。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Invoice 状态 DRAFT → ISSUED。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发布动作写入审计，并生成已实现的 Notification/message log。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CORE-016  客户查看、下载并确认 Invoice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Customer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/portal/billing/{id}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使用 CORE-015 的 ISSUED Invoice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客户进入 Billing 列表，搜索并打开 Invoice。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核对 Shipment、币种、费用行、Subtotal、Tax、Total、Due Date。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下载当前 Invoice 附件并打开。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执行 Confirm Invoice，刷新页面。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客户只能看到本公司已发布的 Invoice。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页面金额与后台一致，总额为 USD 1,400.00。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附件可下载且内容正确。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状态 ISSUED → CUSTOMER_CONFIRMED，记录 confirmedAt。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客户不能创建、发布、作废或标记收款。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CORE-017  内部标记 Paid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Finance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/admin/invoices/{id}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使用 CORE-016 的 CUSTOMER_CONFIRMED Invoice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内部账号打开 Invoice，执行 Mark as Paid。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客户刷新 Billing 详情。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状态 CUSTOMER_CONFIRMED → PAID，并记录 paidAt。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客户看到 Paid 状态。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操作写入 AuditLog；PAID 终态不能继续非法跳转。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Shipment 收尾与完整链路核对</w:t>
      </w:r>
    </w:p>
    <w:p>
      <w:pPr>
        <w:pStyle w:val="Heading2"/>
      </w:pPr>
      <w:r>
        <w:t>CORE-018  Shipment 到港并完成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5165"/>
      </w:tblGrid>
      <w:tr>
        <w:trPr>
          <w:tblHeader w:val="true"/>
          <w:cantSplit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30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51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Operation / Tenant Admin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/admin/shipments/{id}</w:t>
            </w:r>
          </w:p>
        </w:tc>
        <w:tc>
          <w:tcPr>
            <w:tcW w:type="dxa" w:w="51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按当前状态依次执行 Arrive、Complete</w:t>
            </w:r>
          </w:p>
        </w:tc>
      </w:tr>
    </w:tbl>
    <w:p>
      <w:pPr>
        <w:spacing w:after="20"/>
      </w:pPr>
    </w:p>
    <w:p>
      <w:pPr>
        <w:pStyle w:val="Heading3"/>
      </w:pPr>
      <w:r>
        <w:t>操作步骤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在 DEPARTED Shipment 执行 Arrive，填写必要时间/备注。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执行 Complete。</w:t>
      </w:r>
    </w:p>
    <w:p>
      <w:pPr>
        <w:pStyle w:val="ListNumber"/>
        <w:spacing w:after="60" w:line="276" w:lineRule="auto"/>
        <w:ind w:left="432" w:hanging="288"/>
      </w:pPr>
      <w:r>
        <w:rPr>
          <w:rFonts w:ascii="Arial" w:hAnsi="Arial" w:eastAsia="Microsoft YaHei"/>
          <w:b w:val="0"/>
          <w:color w:val="1F2933"/>
          <w:sz w:val="20"/>
        </w:rPr>
        <w:t>客户刷新 Shipment 详情和 Timeline。</w:t>
      </w:r>
    </w:p>
    <w:p>
      <w:pPr>
        <w:pStyle w:val="Heading3"/>
      </w:pPr>
      <w:r>
        <w:t>预期结果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状态 DEPARTED → ARRIVED → COMPLETED。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到港、完成时间和 Tracking Timeline 一致。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客户可以查看完整外部时间线、Container、SO/BL 和关联 Billing 信息。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完成状态和所有关键动作均可审计。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17"/>
              </w:rPr>
              <w:t>结果  □通过  □失败  □阻塞    证据：____________    问题编号/备注：________________________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13.1 上下游一致性核对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500"/>
        <w:gridCol w:w="800"/>
        <w:gridCol w:w="2665"/>
      </w:tblGrid>
      <w:tr>
        <w:trPr>
          <w:tblHeader w:val="true"/>
          <w:cantSplit/>
        </w:trPr>
        <w:tc>
          <w:tcPr>
            <w:tcW w:type="dxa" w:w="65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26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Rate → Quote：航线、箱型、币种、价格快照正确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Quote → Booking：来源关联、航线和箱量继承正确</w:t>
            </w:r>
          </w:p>
        </w:tc>
        <w:tc>
          <w:tcPr>
            <w:tcW w:type="dxa" w:w="8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26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Booking → Shipment：客户、航线、船期和状态正确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Shipment → Document：SO/BL 关联、版本和可见性正确</w:t>
            </w:r>
          </w:p>
        </w:tc>
        <w:tc>
          <w:tcPr>
            <w:tcW w:type="dxa" w:w="8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26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Shipment → Invoice：客户、币种、费用和总额正确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客户范围：只能看到本公司数据</w:t>
            </w:r>
          </w:p>
        </w:tc>
        <w:tc>
          <w:tcPr>
            <w:tcW w:type="dxa" w:w="8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26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审计追踪：关键对象和状态均可追溯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权限与隔离专项测试</w:t>
      </w: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3D6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8A5A00"/>
                <w:sz w:val="20"/>
              </w:rPr>
              <w:t xml:space="preserve">执行原则  </w:t>
            </w:r>
            <w:r>
              <w:rPr>
                <w:rFonts w:ascii="Arial" w:hAnsi="Arial" w:eastAsia="Microsoft YaHei"/>
                <w:b w:val="0"/>
                <w:color w:val="8A5A00"/>
                <w:sz w:val="20"/>
              </w:rPr>
              <w:t>这些测试必须使用第二客户公司或第二租户的真实授权账号，不要只依靠前端按钮是否隐藏判断。</w:t>
            </w:r>
          </w:p>
        </w:tc>
      </w:tr>
    </w:tbl>
    <w:p>
      <w:pPr>
        <w:spacing w:after="20"/>
      </w:pP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00"/>
        <w:gridCol w:w="3300"/>
        <w:gridCol w:w="3700"/>
        <w:gridCol w:w="1865"/>
      </w:tblGrid>
      <w:tr>
        <w:trPr>
          <w:tblHeader w:val="true"/>
          <w:cantSplit/>
        </w:trPr>
        <w:tc>
          <w:tcPr>
            <w:tcW w:type="dxa" w:w="11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33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7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8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结果 / 证据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SEC-001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客户访问后台 Rate 成本接口/页面</w:t>
            </w:r>
          </w:p>
        </w:tc>
        <w:tc>
          <w:tcPr>
            <w:tcW w:type="dxa" w:w="3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服务端拒绝；不返回成本字段</w:t>
            </w:r>
          </w:p>
        </w:tc>
        <w:tc>
          <w:tcPr>
            <w:tcW w:type="dxa" w:w="1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  <w:tr>
        <w:trPr>
          <w:cantSplit/>
        </w:trPr>
        <w:tc>
          <w:tcPr>
            <w:tcW w:type="dxa" w:w="1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SEC-002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另一租户猜 Quote ID</w:t>
            </w:r>
          </w:p>
        </w:tc>
        <w:tc>
          <w:tcPr>
            <w:tcW w:type="dxa" w:w="3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404/403；不泄露对象存在性</w:t>
            </w:r>
          </w:p>
        </w:tc>
        <w:tc>
          <w:tcPr>
            <w:tcW w:type="dxa" w:w="1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SEC-003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同租户另一客户猜 Booking ID</w:t>
            </w:r>
          </w:p>
        </w:tc>
        <w:tc>
          <w:tcPr>
            <w:tcW w:type="dxa" w:w="3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不能读取或修改</w:t>
            </w:r>
          </w:p>
        </w:tc>
        <w:tc>
          <w:tcPr>
            <w:tcW w:type="dxa" w:w="1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  <w:tr>
        <w:trPr>
          <w:cantSplit/>
        </w:trPr>
        <w:tc>
          <w:tcPr>
            <w:tcW w:type="dxa" w:w="1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SEC-004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另一租户猜 Shipment ID</w:t>
            </w:r>
          </w:p>
        </w:tc>
        <w:tc>
          <w:tcPr>
            <w:tcW w:type="dxa" w:w="3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不能读取或执行状态动作</w:t>
            </w:r>
          </w:p>
        </w:tc>
        <w:tc>
          <w:tcPr>
            <w:tcW w:type="dxa" w:w="1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SEC-005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客户猜隐藏 Document ID</w:t>
            </w:r>
          </w:p>
        </w:tc>
        <w:tc>
          <w:tcPr>
            <w:tcW w:type="dxa" w:w="3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不能列表、下载或获得对象地址</w:t>
            </w:r>
          </w:p>
        </w:tc>
        <w:tc>
          <w:tcPr>
            <w:tcW w:type="dxa" w:w="1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  <w:tr>
        <w:trPr>
          <w:cantSplit/>
        </w:trPr>
        <w:tc>
          <w:tcPr>
            <w:tcW w:type="dxa" w:w="1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SEC-006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另一客户猜 Invoice ID</w:t>
            </w:r>
          </w:p>
        </w:tc>
        <w:tc>
          <w:tcPr>
            <w:tcW w:type="dxa" w:w="3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不能读取、确认或下载附件</w:t>
            </w:r>
          </w:p>
        </w:tc>
        <w:tc>
          <w:tcPr>
            <w:tcW w:type="dxa" w:w="1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SEC-007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客户直接调用内部状态动作</w:t>
            </w:r>
          </w:p>
        </w:tc>
        <w:tc>
          <w:tcPr>
            <w:tcW w:type="dxa" w:w="3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服务端权限拒绝</w:t>
            </w:r>
          </w:p>
        </w:tc>
        <w:tc>
          <w:tcPr>
            <w:tcW w:type="dxa" w:w="18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  <w:tr>
        <w:trPr>
          <w:cantSplit/>
        </w:trPr>
        <w:tc>
          <w:tcPr>
            <w:tcW w:type="dxa" w:w="1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SEC-008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检查 ACCESS_DENIED 安全审计</w:t>
            </w:r>
          </w:p>
        </w:tc>
        <w:tc>
          <w:tcPr>
            <w:tcW w:type="dxa" w:w="3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记录请求方租户/用户/对象/状态码，不泄露目标租户</w:t>
            </w:r>
          </w:p>
        </w:tc>
        <w:tc>
          <w:tcPr>
            <w:tcW w:type="dxa" w:w="18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□通过  □失败</w:t>
              <w:br/>
              <w:t>证据：______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异常、刷新与体验检查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3100"/>
        <w:gridCol w:w="3900"/>
        <w:gridCol w:w="1065"/>
      </w:tblGrid>
      <w:tr>
        <w:trPr>
          <w:tblHeader w:val="true"/>
          <w:cantSplit/>
        </w:trPr>
        <w:tc>
          <w:tcPr>
            <w:tcW w:type="dxa" w:w="19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1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操作方法</w:t>
            </w:r>
          </w:p>
        </w:tc>
        <w:tc>
          <w:tcPr>
            <w:tcW w:type="dxa" w:w="39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10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登录恢复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刷新页面或关闭后重新打开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Refresh Cookie 能恢复会话；无重复刷新/重放错误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权限分流</w:t>
            </w:r>
          </w:p>
        </w:tc>
        <w:tc>
          <w:tcPr>
            <w:tcW w:type="dxa" w:w="3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客户访问 /admin；内部访问业务入口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进入正确 Portal/Admin，不显示越权操作</w:t>
            </w:r>
          </w:p>
        </w:tc>
        <w:tc>
          <w:tcPr>
            <w:tcW w:type="dxa" w:w="1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Loading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慢网络或首次进入列表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存在清晰加载状态，不出现空白误导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Empty</w:t>
            </w:r>
          </w:p>
        </w:tc>
        <w:tc>
          <w:tcPr>
            <w:tcW w:type="dxa" w:w="3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使用无结果筛选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有明确空状态和清除筛选入口</w:t>
            </w:r>
          </w:p>
        </w:tc>
        <w:tc>
          <w:tcPr>
            <w:tcW w:type="dxa" w:w="1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Error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断开 API 或制造可恢复错误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显示可理解错误和 Retry，不暴露 stack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下载</w:t>
            </w:r>
          </w:p>
        </w:tc>
        <w:tc>
          <w:tcPr>
            <w:tcW w:type="dxa" w:w="3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下载 Quote/SO/BL/Invoice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文件可打开、文件名/MIME 正确，无公共永久 URL</w:t>
            </w:r>
          </w:p>
        </w:tc>
        <w:tc>
          <w:tcPr>
            <w:tcW w:type="dxa" w:w="1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分页筛选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Rate/Quote/Booking/Shipment/Invoice 列表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筛选条件生效，分页总数合理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响应式</w:t>
            </w:r>
          </w:p>
        </w:tc>
        <w:tc>
          <w:tcPr>
            <w:tcW w:type="dxa" w:w="3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浏览器宽度 1440/768/390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客户核心查看与操作可完成，无关键内容截断</w:t>
            </w:r>
          </w:p>
        </w:tc>
        <w:tc>
          <w:tcPr>
            <w:tcW w:type="dxa" w:w="1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控制台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完整流程观察 Console/Network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无未处理异常、敏感数据或 Token 日志</w:t>
            </w:r>
          </w:p>
        </w:tc>
        <w:tc>
          <w:tcPr>
            <w:tcW w:type="dxa" w:w="10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格式</w:t>
            </w:r>
          </w:p>
        </w:tc>
        <w:tc>
          <w:tcPr>
            <w:tcW w:type="dxa" w:w="31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检查金额、日期、币种</w:t>
            </w:r>
          </w:p>
        </w:tc>
        <w:tc>
          <w:tcPr>
            <w:tcW w:type="dxa" w:w="3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金额千分位两位小数；日期 yyyy-mm-dd；币种不丢失</w:t>
            </w:r>
          </w:p>
        </w:tc>
        <w:tc>
          <w:tcPr>
            <w:tcW w:type="dxa" w:w="10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</w:t>
            </w:r>
          </w:p>
        </w:tc>
      </w:tr>
    </w:tbl>
    <w:p>
      <w:pPr>
        <w:spacing w:after="20"/>
      </w:pPr>
    </w:p>
    <w:tbl>
      <w:tblPr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965"/>
      </w:tblGrid>
      <w:tr>
        <w:trPr>
          <w:cantSplit/>
        </w:trPr>
        <w:tc>
          <w:tcPr>
            <w:tcW w:type="dxa" w:w="99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6324F"/>
                <w:sz w:val="20"/>
              </w:rPr>
              <w:t xml:space="preserve">已知边界  </w:t>
            </w:r>
            <w:r>
              <w:rPr>
                <w:rFonts w:ascii="Arial" w:hAnsi="Arial" w:eastAsia="Microsoft YaHei"/>
                <w:b w:val="0"/>
                <w:color w:val="16324F"/>
                <w:sz w:val="20"/>
              </w:rPr>
              <w:t>Dashboard、通用 Documents、完整 Notifications UI 和 Branding 仍可能为占位或未完成；本次核心闭环不应把这些页面的展示视为已验收功能。生产邮件、备份恢复和安全加固另有发布门禁。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缺陷记录</w:t>
      </w:r>
    </w:p>
    <w:p>
      <w:pPr>
        <w:spacing w:before="0" w:after="100" w:line="283" w:lineRule="auto"/>
      </w:pPr>
      <w:r>
        <w:rPr>
          <w:rFonts w:ascii="Arial" w:hAnsi="Arial" w:eastAsia="Microsoft YaHei"/>
          <w:b w:val="0"/>
          <w:color w:val="1F2933"/>
          <w:sz w:val="20"/>
        </w:rPr>
        <w:t>每个问题单独编号。若同一问题影响多个步骤，在相关测试用例的“问题编号”栏引用同一个编号。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50"/>
        <w:gridCol w:w="650"/>
        <w:gridCol w:w="1400"/>
        <w:gridCol w:w="3300"/>
        <w:gridCol w:w="1900"/>
        <w:gridCol w:w="1665"/>
      </w:tblGrid>
      <w:tr>
        <w:trPr>
          <w:tblHeader w:val="true"/>
          <w:cantSplit/>
        </w:trPr>
        <w:tc>
          <w:tcPr>
            <w:tcW w:type="dxa" w:w="105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缺陷ID</w:t>
            </w:r>
          </w:p>
        </w:tc>
        <w:tc>
          <w:tcPr>
            <w:tcW w:type="dxa" w:w="65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4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步骤/对象</w:t>
            </w:r>
          </w:p>
        </w:tc>
        <w:tc>
          <w:tcPr>
            <w:tcW w:type="dxa" w:w="33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现象与复现步骤</w:t>
            </w:r>
          </w:p>
        </w:tc>
        <w:tc>
          <w:tcPr>
            <w:tcW w:type="dxa" w:w="19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状态/负责人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BUG-001</w:t>
            </w:r>
          </w:p>
        </w:tc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  <w:tr>
        <w:trPr>
          <w:cantSplit/>
        </w:trPr>
        <w:tc>
          <w:tcPr>
            <w:tcW w:type="dxa" w:w="10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BUG-002</w:t>
            </w:r>
          </w:p>
        </w:tc>
        <w:tc>
          <w:tcPr>
            <w:tcW w:type="dxa" w:w="6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BUG-003</w:t>
            </w:r>
          </w:p>
        </w:tc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  <w:tr>
        <w:trPr>
          <w:cantSplit/>
        </w:trPr>
        <w:tc>
          <w:tcPr>
            <w:tcW w:type="dxa" w:w="10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BUG-004</w:t>
            </w:r>
          </w:p>
        </w:tc>
        <w:tc>
          <w:tcPr>
            <w:tcW w:type="dxa" w:w="6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BUG-005</w:t>
            </w:r>
          </w:p>
        </w:tc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  <w:tr>
        <w:trPr>
          <w:cantSplit/>
        </w:trPr>
        <w:tc>
          <w:tcPr>
            <w:tcW w:type="dxa" w:w="10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BUG-006</w:t>
            </w:r>
          </w:p>
        </w:tc>
        <w:tc>
          <w:tcPr>
            <w:tcW w:type="dxa" w:w="6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BUG-007</w:t>
            </w:r>
          </w:p>
        </w:tc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  <w:tr>
        <w:trPr>
          <w:cantSplit/>
        </w:trPr>
        <w:tc>
          <w:tcPr>
            <w:tcW w:type="dxa" w:w="10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BUG-008</w:t>
            </w:r>
          </w:p>
        </w:tc>
        <w:tc>
          <w:tcPr>
            <w:tcW w:type="dxa" w:w="6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P__</w:t>
            </w:r>
          </w:p>
        </w:tc>
        <w:tc>
          <w:tcPr>
            <w:tcW w:type="dxa" w:w="14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</w:t>
            </w:r>
          </w:p>
        </w:tc>
        <w:tc>
          <w:tcPr>
            <w:tcW w:type="dxa" w:w="33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________________________</w:t>
              <w:br/>
              <w:t>________________________</w:t>
            </w:r>
          </w:p>
        </w:tc>
        <w:tc>
          <w:tcPr>
            <w:tcW w:type="dxa" w:w="19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________________</w:t>
            </w:r>
          </w:p>
        </w:tc>
        <w:tc>
          <w:tcPr>
            <w:tcW w:type="dxa" w:w="16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OPEN / ______</w:t>
            </w:r>
          </w:p>
        </w:tc>
      </w:tr>
    </w:tbl>
    <w:p>
      <w:pPr>
        <w:spacing w:after="20"/>
      </w:pPr>
    </w:p>
    <w:p>
      <w:pPr>
        <w:pStyle w:val="Heading2"/>
      </w:pPr>
      <w:r>
        <w:t>缺陷证据规范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截图包含页面标题、业务编号、错误文字和浏览器时间。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记录使用的租户、角色、浏览器、环境地址和 Commit/版本。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网络/API 问题记录请求方法、路径、HTTP 状态和 request/correlation ID；不要复制 Token。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数据问题记录上下游业务编号，避免只写页面 URL。</w:t>
      </w:r>
    </w:p>
    <w:p>
      <w:r>
        <w:br w:type="page"/>
      </w:r>
    </w:p>
    <w:p>
      <w:pPr>
        <w:pStyle w:val="Heading1"/>
      </w:pPr>
      <w:r>
        <w:t>17. 最终验收汇总与签署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2500"/>
        <w:gridCol w:w="850"/>
        <w:gridCol w:w="850"/>
        <w:gridCol w:w="850"/>
        <w:gridCol w:w="2715"/>
      </w:tblGrid>
      <w:tr>
        <w:trPr>
          <w:tblHeader w:val="true"/>
          <w:cantSplit/>
        </w:trPr>
        <w:tc>
          <w:tcPr>
            <w:tcW w:type="dxa" w:w="22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核心用例</w:t>
            </w:r>
          </w:p>
        </w:tc>
        <w:tc>
          <w:tcPr>
            <w:tcW w:type="dxa" w:w="85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85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失败</w:t>
            </w:r>
          </w:p>
        </w:tc>
        <w:tc>
          <w:tcPr>
            <w:tcW w:type="dxa" w:w="85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阻塞</w:t>
            </w:r>
          </w:p>
        </w:tc>
        <w:tc>
          <w:tcPr>
            <w:tcW w:type="dxa" w:w="271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Rate / Quote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CORE-001～004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27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□通过  □不通过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Booking / SO</w:t>
            </w:r>
          </w:p>
        </w:tc>
        <w:tc>
          <w:tcPr>
            <w:tcW w:type="dxa" w:w="2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CORE-005～008</w:t>
            </w:r>
          </w:p>
        </w:tc>
        <w:tc>
          <w:tcPr>
            <w:tcW w:type="dxa" w:w="8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271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□通过  □不通过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Shipment / Tracking / BL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CORE-009～013、018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27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□通过  □不通过</w:t>
            </w:r>
          </w:p>
        </w:tc>
      </w:tr>
      <w:tr>
        <w:trPr>
          <w:cantSplit/>
        </w:trPr>
        <w:tc>
          <w:tcPr>
            <w:tcW w:type="dxa" w:w="22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Invoice / Billing</w:t>
            </w:r>
          </w:p>
        </w:tc>
        <w:tc>
          <w:tcPr>
            <w:tcW w:type="dxa" w:w="2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CORE-014～017</w:t>
            </w:r>
          </w:p>
        </w:tc>
        <w:tc>
          <w:tcPr>
            <w:tcW w:type="dxa" w:w="8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271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□通过  □不通过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权限与负向测试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NEG-001～005、SEC-001～008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___</w:t>
            </w:r>
          </w:p>
        </w:tc>
        <w:tc>
          <w:tcPr>
            <w:tcW w:type="dxa" w:w="27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□通过  □不通过</w:t>
            </w:r>
          </w:p>
        </w:tc>
      </w:tr>
    </w:tbl>
    <w:p>
      <w:pPr>
        <w:spacing w:after="20"/>
      </w:pPr>
    </w:p>
    <w:p>
      <w:pPr>
        <w:pStyle w:val="Heading2"/>
      </w:pPr>
      <w:r>
        <w:t>最终判断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通过：核心流程全部通过，无 P0/P1；可以进入受控客户 UAT。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有条件通过：无 P0，存在已书面接受且有截止日期的非阻塞问题。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不通过：存在 P0/P1，或核心流程无法独立完成。</w:t>
      </w:r>
    </w:p>
    <w:p>
      <w:pPr>
        <w:pStyle w:val="ListBullet"/>
        <w:spacing w:after="60" w:line="276" w:lineRule="auto"/>
        <w:ind w:left="403" w:hanging="230"/>
      </w:pPr>
      <w:r>
        <w:rPr>
          <w:rFonts w:ascii="Arial" w:hAnsi="Arial" w:eastAsia="Microsoft YaHei"/>
          <w:b w:val="0"/>
          <w:color w:val="1F2933"/>
          <w:sz w:val="20"/>
        </w:rPr>
        <w:t>□ 阻塞：环境、账号、依赖或测试数据不具备，尚不能判断。</w:t>
      </w:r>
    </w:p>
    <w:tbl>
      <w:tblPr>
        <w:tblStyle w:val="TableGrid"/>
        <w:tblW w:type="dxa" w:w="99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1500"/>
        <w:gridCol w:w="1700"/>
        <w:gridCol w:w="1500"/>
        <w:gridCol w:w="3565"/>
      </w:tblGrid>
      <w:tr>
        <w:trPr>
          <w:tblHeader w:val="true"/>
          <w:cantSplit/>
        </w:trPr>
        <w:tc>
          <w:tcPr>
            <w:tcW w:type="dxa" w:w="17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5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7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5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565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签字 / 备注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测试执行人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____-__-__</w:t>
            </w:r>
          </w:p>
        </w:tc>
        <w:tc>
          <w:tcPr>
            <w:tcW w:type="dxa" w:w="3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业务负责人</w:t>
            </w:r>
          </w:p>
        </w:tc>
        <w:tc>
          <w:tcPr>
            <w:tcW w:type="dxa" w:w="1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____-__-__</w:t>
            </w:r>
          </w:p>
        </w:tc>
        <w:tc>
          <w:tcPr>
            <w:tcW w:type="dxa" w:w="35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产品负责人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____-__-__</w:t>
            </w:r>
          </w:p>
        </w:tc>
        <w:tc>
          <w:tcPr>
            <w:tcW w:type="dxa" w:w="3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技术负责人</w:t>
            </w:r>
          </w:p>
        </w:tc>
        <w:tc>
          <w:tcPr>
            <w:tcW w:type="dxa" w:w="1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7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</w:t>
            </w:r>
          </w:p>
        </w:tc>
        <w:tc>
          <w:tcPr>
            <w:tcW w:type="dxa" w:w="1500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____-__-__</w:t>
            </w:r>
          </w:p>
        </w:tc>
        <w:tc>
          <w:tcPr>
            <w:tcW w:type="dxa" w:w="3565"/>
            <w:shd w:fill="F3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F2933"/>
                <w:sz w:val="18"/>
              </w:rPr>
              <w:t>________________________</w:t>
            </w:r>
          </w:p>
        </w:tc>
      </w:tr>
    </w:tbl>
    <w:p>
      <w:pPr>
        <w:spacing w:after="20"/>
      </w:pPr>
    </w:p>
    <w:p>
      <w:pPr>
        <w:spacing w:before="240" w:after="100" w:line="283" w:lineRule="auto"/>
      </w:pPr>
      <w:r>
        <w:rPr>
          <w:rFonts w:ascii="Arial" w:hAnsi="Arial" w:eastAsia="Microsoft YaHei"/>
          <w:b/>
          <w:color w:val="16324F"/>
          <w:sz w:val="20"/>
        </w:rPr>
        <w:t>剩余风险 / 上线前条件：</w:t>
      </w:r>
    </w:p>
    <w:p>
      <w:pPr>
        <w:spacing w:before="0" w:after="140" w:line="283" w:lineRule="auto"/>
      </w:pPr>
      <w:r>
        <w:rPr>
          <w:rFonts w:ascii="Arial" w:hAnsi="Arial" w:eastAsia="Microsoft YaHei"/>
          <w:b w:val="0"/>
          <w:color w:val="5B6770"/>
          <w:sz w:val="20"/>
        </w:rPr>
        <w:t>________________________________________________________________________________</w:t>
      </w:r>
    </w:p>
    <w:p>
      <w:pPr>
        <w:spacing w:before="0" w:after="140" w:line="283" w:lineRule="auto"/>
      </w:pPr>
      <w:r>
        <w:rPr>
          <w:rFonts w:ascii="Arial" w:hAnsi="Arial" w:eastAsia="Microsoft YaHei"/>
          <w:b w:val="0"/>
          <w:color w:val="5B6770"/>
          <w:sz w:val="20"/>
        </w:rPr>
        <w:t>________________________________________________________________________________</w:t>
      </w:r>
    </w:p>
    <w:p>
      <w:pPr>
        <w:spacing w:before="0" w:after="140" w:line="283" w:lineRule="auto"/>
      </w:pPr>
      <w:r>
        <w:rPr>
          <w:rFonts w:ascii="Arial" w:hAnsi="Arial" w:eastAsia="Microsoft YaHei"/>
          <w:b w:val="0"/>
          <w:color w:val="5B6770"/>
          <w:sz w:val="20"/>
        </w:rPr>
        <w:t>________________________________________________________________________________</w:t>
      </w:r>
    </w:p>
    <w:p>
      <w:pPr>
        <w:spacing w:before="0" w:after="140" w:line="283" w:lineRule="auto"/>
      </w:pPr>
      <w:r>
        <w:rPr>
          <w:rFonts w:ascii="Arial" w:hAnsi="Arial" w:eastAsia="Microsoft YaHei"/>
          <w:b w:val="0"/>
          <w:color w:val="5B6770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5B6770"/>
        <w:sz w:val="16"/>
      </w:rPr>
      <w:t xml:space="preserve">内部测试文件  |  2026-08-30  |  第 </w:t>
    </w:r>
    <w:fldSimple w:instr="PAGE"/>
    <w:r>
      <w:rPr>
        <w:rFonts w:ascii="Arial" w:hAnsi="Arial" w:eastAsia="Microsoft YaHei"/>
        <w:b w:val="0"/>
        <w:color w:val="5B67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color w:val="5B6770"/>
        <w:sz w:val="16"/>
      </w:rPr>
      <w:t>FREIGHT CUSTOMER PORTAL · V1 CORE BUSINESS UAT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Microsoft YaHe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F78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632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B67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Customer Portal V1 核心业务全流程测试手册</dc:title>
  <dc:subject>Rate 到 Invoice 的业务验收与测试记录</dc:subject>
  <dc:creator>Codex</dc:creator>
  <cp:keywords>Freight, UAT, Rate, Quote, Booking, Shipment, Invoice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