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50"/>
        </w:rPr>
        <w:t>货代客户在线门户 SaaS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8"/>
        </w:rPr>
        <w:t>技术开发设计文档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文档版本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c>
          <w:tcPr>
            <w:tcW w:type="dxa" w:w="2160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产品阶段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 MVP / 商用试点版</w:t>
            </w:r>
          </w:p>
        </w:tc>
      </w:tr>
      <w:tr>
        <w:tc>
          <w:tcPr>
            <w:tcW w:type="dxa" w:w="2160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计划周期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16 周开发 + 4 周试点</w:t>
            </w:r>
          </w:p>
        </w:tc>
      </w:tr>
      <w:tr>
        <w:tc>
          <w:tcPr>
            <w:tcW w:type="dxa" w:w="2160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文档日期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2026-08-27</w:t>
            </w:r>
          </w:p>
        </w:tc>
      </w:tr>
    </w:tbl>
    <w:p>
      <w:r>
        <w:br/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19"/>
        </w:rPr>
        <w:t>内部项目文档 · 用于产品设计、研发、测试与试点验收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520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520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2520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20"/>
          </w:tcPr>
          <w:p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  <w:tc>
          <w:tcPr>
            <w:tcW w:type="dxa" w:w="2520"/>
          </w:tcPr>
          <w:p>
            <w:r>
              <w:rPr>
                <w:rFonts w:ascii="Noto Sans CJK SC" w:hAnsi="Noto Sans CJK SC" w:eastAsia="Noto Sans CJK SC"/>
                <w:sz w:val="18"/>
              </w:rPr>
              <w:t>2026-08-27</w:t>
            </w:r>
          </w:p>
        </w:tc>
        <w:tc>
          <w:tcPr>
            <w:tcW w:type="dxa" w:w="2520"/>
          </w:tcPr>
          <w:p>
            <w:r>
              <w:rPr>
                <w:rFonts w:ascii="Noto Sans CJK SC" w:hAnsi="Noto Sans CJK SC" w:eastAsia="Noto Sans CJK SC"/>
                <w:sz w:val="18"/>
              </w:rPr>
              <w:t>技术负责人</w:t>
            </w:r>
          </w:p>
        </w:tc>
        <w:tc>
          <w:tcPr>
            <w:tcW w:type="dxa" w:w="2520"/>
          </w:tcPr>
          <w:p>
            <w:r>
              <w:rPr>
                <w:rFonts w:ascii="Noto Sans CJK SC" w:hAnsi="Noto Sans CJK SC" w:eastAsia="Noto Sans CJK SC"/>
                <w:sz w:val="18"/>
              </w:rPr>
              <w:t>第一版基线，冻结 V1 核心范围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7FA"/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范围控制原则：</w:t>
            </w:r>
            <w:r>
              <w:rPr>
                <w:rFonts w:ascii="Noto Sans CJK SC" w:hAnsi="Noto Sans CJK SC" w:eastAsia="Noto Sans CJK SC"/>
                <w:sz w:val="20"/>
              </w:rPr>
              <w:t>V1 只验证“查价 → 报价 → 下单 → Shipment → Tracking → 单证 → 账单”的客户门户闭环。任何 EDI、报关、总账、复杂应付、AI/OCR、全球实时 Tracking 等需求默认进入 V1.5/V2 Backlog。</w:t>
            </w:r>
          </w:p>
        </w:tc>
      </w:tr>
    </w:tbl>
    <w:p/>
    <w:p>
      <w:pPr>
        <w:pStyle w:val="Heading1"/>
      </w:pPr>
      <w:r>
        <w:t>目录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1. 技术目标与原则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2. 技术选型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3. 总体架构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4. Monorepo 与代码结构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5. 后端模块划分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6. Domain Model 与 ERD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7. 数据库设计基线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8. 多租户与权限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9. API 设计规范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10. 状态机与业务规则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11. 异步任务与事件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12. 文件与单证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13. 前端架构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14. 安全设计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15. 日志与可观测性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16. 测试策略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17. DevOps 与部署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18. 开发流程与代码规范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19. 迭代实施计划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附录 A. API 基线</w:t>
      </w:r>
    </w:p>
    <w:p>
      <w:pPr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附录 B. 数据表基线</w:t>
      </w:r>
    </w:p>
    <w:p>
      <w:pPr>
        <w:pStyle w:val="Heading1"/>
      </w:pPr>
      <w:r>
        <w:t>1. 技术目标与原则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以 4–5 人团队在 16 周内交付可上线 Beta 为目标，优先开发效率、可维护性和业务正确性。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采用 Modular Monolith，不在 V1 引入微服务、Kafka、Kubernetes、GraphQL、Event Sourcing 等非必要复杂度。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所有业务规则、状态机、权限与租户隔离在后端强制执行。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为后续 Tracking API、船司 API、会计系统、EDI 等集成预留明确 Integration 边界，但不提前实现。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核心业务对象具备审计、幂等、事务和可测试性。</w:t>
      </w:r>
    </w:p>
    <w:p>
      <w:pPr>
        <w:pStyle w:val="Heading1"/>
      </w:pPr>
      <w:r>
        <w:t>2.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选型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Web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Next.js + React + TypeScript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客户 Portal + Admin；SSR/CSR 混合；工程成熟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UI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Tailwind CSS + shadcn/ui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快速构建 B2B 界面；组件可控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Table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TanStack Table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运价/订单/账单复杂表格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Form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React Hook Form + Zod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大型业务表单、前后端 schema 协同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NestJS + TypeScript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模块化、DI、Guard/Interceptor、OpenAPI 友好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API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REST + OpenAPI/Swagger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B2B 集成清晰、易测试与对外开放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DB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PostgreSQL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强关系、事务、约束、复杂查询、RLS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ORM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Prisma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Schema/Migration/开发效率；复杂查询允许 Raw SQL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Cache/Queue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Redis + BullMQ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Cache、限流、Session/验证码、异步任务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File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S3 Compatible Object Storage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SO/BL/Invoice/PDF，避免本地磁盘耦合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PDF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Playwright/Puppeteer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HTML 模板转 PDF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Excel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ExcelJS 或 SheetJS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Rate 导入导出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Deploy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Docker + Nginx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V1 简单可靠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CI/CD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GitHub Actions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Test/Build/Deploy 自动化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Observability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Sentry + Structured Logging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错误定位与生产问题追踪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Test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Jest + Supertest + Playwright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Unit/API/E2E</w:t>
            </w:r>
          </w:p>
        </w:tc>
      </w:tr>
    </w:tbl>
    <w:p/>
    <w:p>
      <w:pPr>
        <w:pStyle w:val="Heading1"/>
      </w:pPr>
      <w:r>
        <w:t>3. 总体架构</w:t>
      </w:r>
    </w:p>
    <w:p>
      <w:pPr>
        <w:pStyle w:val="CodeBlock"/>
        <w:keepLines/>
        <w:shd w:fill="F7F7F7"/>
      </w:pPr>
      <w:r>
        <w:rPr>
          <w:rFonts w:ascii="DejaVu Sans Mono" w:hAnsi="DejaVu Sans Mono" w:eastAsia="DejaVu Sans Mono"/>
          <w:sz w:val="17"/>
        </w:rPr>
        <w:t>Internet</w:t>
        <w:br/>
        <w:t xml:space="preserve">   |</w:t>
        <w:br/>
        <w:t>CDN/WAF (可选)</w:t>
        <w:br/>
        <w:t xml:space="preserve">   |</w:t>
        <w:br/>
        <w:t xml:space="preserve"> Nginx</w:t>
        <w:br/>
        <w:t xml:space="preserve">   |---------------------|</w:t>
        <w:br/>
        <w:t xml:space="preserve">   |                     |</w:t>
        <w:br/>
        <w:t>Next.js Web          NestJS API</w:t>
        <w:br/>
        <w:t>Portal + Admin       Modular Monolith</w:t>
        <w:br/>
        <w:t xml:space="preserve">                         |</w:t>
        <w:br/>
        <w:t xml:space="preserve">       ---------------------------------------</w:t>
        <w:br/>
        <w:t xml:space="preserve">       |                 |                   |</w:t>
        <w:br/>
        <w:t xml:space="preserve">  PostgreSQL           Redis          S3/OSS/COS</w:t>
        <w:br/>
        <w:t xml:space="preserve">  Business DB       Cache + Queue       Documents</w:t>
        <w:br/>
        <w:t xml:space="preserve">                         |</w:t>
        <w:br/>
        <w:t xml:space="preserve">                    BullMQ Worker</w:t>
        <w:br/>
        <w:t xml:space="preserve">               Email / PDF / Excel / Webhook</w:t>
        <w:br/>
      </w:r>
    </w:p>
    <w:p>
      <w:pPr>
        <w:pStyle w:val="Heading2"/>
      </w:pPr>
      <w:r>
        <w:t>3.1 架构原则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Web 与 API 独立部署，但统一 Monorepo 管理。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API 为唯一业务真相来源；Next.js 不直接访问数据库。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后台任务与在线请求解耦：Excel 导入、PDF、邮件、批量通知进入 Queue。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外部系统统一通过 integrations 模块接入，避免业务模块直接耦合第三方 SDK。</w:t>
      </w:r>
    </w:p>
    <w:p>
      <w:pPr>
        <w:pStyle w:val="Heading1"/>
      </w:pPr>
      <w:r>
        <w:t>4. Monorepo 与代码结构</w:t>
      </w:r>
    </w:p>
    <w:p>
      <w:pPr>
        <w:pStyle w:val="CodeBlock"/>
        <w:keepLines/>
        <w:shd w:fill="F7F7F7"/>
      </w:pPr>
      <w:r>
        <w:rPr>
          <w:rFonts w:ascii="DejaVu Sans Mono" w:hAnsi="DejaVu Sans Mono" w:eastAsia="DejaVu Sans Mono"/>
          <w:sz w:val="17"/>
        </w:rPr>
        <w:t>freight-saas/</w:t>
        <w:br/>
        <w:t>├─ apps/</w:t>
        <w:br/>
        <w:t>│  ├─ web/                 # Next.js: portal + admin</w:t>
        <w:br/>
        <w:t>│  ├─ api/                 # NestJS REST API</w:t>
        <w:br/>
        <w:t>│  └─ worker/              # BullMQ processors（可与 api 同仓部署）</w:t>
        <w:br/>
        <w:t>├─ packages/</w:t>
        <w:br/>
        <w:t>│  ├─ ui/                  # 共享 UI 组件</w:t>
        <w:br/>
        <w:t>│  ├─ types/               # DTO/共享类型（谨慎）</w:t>
        <w:br/>
        <w:t>│  ├─ validation/          # 可共享 schema</w:t>
        <w:br/>
        <w:t>│  └─ config/              # eslint/tsconfig 等</w:t>
        <w:br/>
        <w:t>├─ prisma/</w:t>
        <w:br/>
        <w:t>│  ├─ schema.prisma</w:t>
        <w:br/>
        <w:t>│  └─ migrations/</w:t>
        <w:br/>
        <w:t>├─ docker/</w:t>
        <w:br/>
        <w:t>├─ docs/</w:t>
        <w:br/>
        <w:t>└─ .github/workflows/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7FA"/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推荐工具：</w:t>
            </w:r>
            <w:r>
              <w:rPr>
                <w:rFonts w:ascii="Noto Sans CJK SC" w:hAnsi="Noto Sans CJK SC" w:eastAsia="Noto Sans CJK SC"/>
                <w:sz w:val="20"/>
              </w:rPr>
              <w:t>pnpm workspace + Turborepo。V1 不需要为了 Monorepo 引入更复杂的构建系统。</w:t>
            </w:r>
          </w:p>
        </w:tc>
      </w:tr>
    </w:tbl>
    <w:p/>
    <w:p>
      <w:pPr>
        <w:pStyle w:val="Heading1"/>
      </w:pPr>
      <w:r>
        <w:t>5. 后端模块划分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auth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登录、密码重置、Token/Session、登录限制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tenants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租户、套餐、状态、品牌配置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users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用户、角色、启停、成员管理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customers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客户公司、联系人、销售归属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rates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运价、Excel 导入、查询、基础价格规则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quotes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Quote、报价快照、PDF、接受/拒绝/过期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bookings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Booking、状态机、审核、SO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shipments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Shipment、Vessel/Voyage、ETD/ETA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containers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Container 与时间节点字段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tracking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TrackingEvent 与 Timeline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documents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文件元数据、版本、客户可见性、签名 URL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billing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应收 Invoice、状态、客户确认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notifications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Domain Event → Queue → Email/站内通知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audit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关键变更审计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integrations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未来 Tracking/船司/会计/短信/微信接口适配器</w:t>
            </w:r>
          </w:p>
        </w:tc>
      </w:tr>
    </w:tbl>
    <w:p/>
    <w:p>
      <w:pPr>
        <w:pStyle w:val="CodeBlock"/>
        <w:keepLines/>
        <w:shd w:fill="F7F7F7"/>
      </w:pPr>
      <w:r>
        <w:rPr>
          <w:rFonts w:ascii="DejaVu Sans Mono" w:hAnsi="DejaVu Sans Mono" w:eastAsia="DejaVu Sans Mono"/>
          <w:sz w:val="17"/>
        </w:rPr>
        <w:t>src/modules/bookings/</w:t>
        <w:br/>
        <w:t>├─ bookings.controller.ts</w:t>
        <w:br/>
        <w:t>├─ bookings.service.ts</w:t>
        <w:br/>
        <w:t>├─ booking.domain.ts</w:t>
        <w:br/>
        <w:t>├─ booking.policy.ts</w:t>
        <w:br/>
        <w:t>├─ dto/</w:t>
        <w:br/>
        <w:t>├─ repositories/</w:t>
        <w:br/>
        <w:t>└─ __tests__/</w:t>
        <w:br/>
      </w:r>
    </w:p>
    <w:p>
      <w:pPr>
        <w:pStyle w:val="Heading1"/>
      </w:pPr>
      <w:r>
        <w:t>6. Domain Model 与 ERD</w:t>
      </w:r>
    </w:p>
    <w:p>
      <w:pPr>
        <w:pStyle w:val="CodeBlock"/>
        <w:keepLines/>
        <w:shd w:fill="F7F7F7"/>
      </w:pPr>
      <w:r>
        <w:rPr>
          <w:rFonts w:ascii="DejaVu Sans Mono" w:hAnsi="DejaVu Sans Mono" w:eastAsia="DejaVu Sans Mono"/>
          <w:sz w:val="17"/>
        </w:rPr>
        <w:t>Tenant</w:t>
        <w:br/>
        <w:t xml:space="preserve"> ├─ User</w:t>
        <w:br/>
        <w:t xml:space="preserve"> ├─ CustomerCompany</w:t>
        <w:br/>
        <w:t xml:space="preserve"> │   ├─ CustomerContact</w:t>
        <w:br/>
        <w:t xml:space="preserve"> │   ├─ Quote</w:t>
        <w:br/>
        <w:t xml:space="preserve"> │   │   └─ Booking</w:t>
        <w:br/>
        <w:t xml:space="preserve"> │   │       └─ Shipment</w:t>
        <w:br/>
        <w:t xml:space="preserve"> │   │           ├─ Container</w:t>
        <w:br/>
        <w:t xml:space="preserve"> │   │           ├─ TrackingEvent</w:t>
        <w:br/>
        <w:t xml:space="preserve"> │   │           ├─ Document</w:t>
        <w:br/>
        <w:t xml:space="preserve"> │   │           └─ Invoice</w:t>
        <w:br/>
        <w:t xml:space="preserve"> │   └─ CustomerUser</w:t>
        <w:br/>
        <w:t xml:space="preserve"> └─ Rate</w:t>
        <w:br/>
      </w:r>
    </w:p>
    <w:p>
      <w:pPr>
        <w:pStyle w:val="Heading2"/>
      </w:pPr>
      <w:r>
        <w:t>6.1 关键关系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Tenant 1:N Users / Customers / Rates / Quotes / Bookings / Shipments。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CustomerCompany 1:N Contacts / CustomerUsers / Quotes / Bookings / Invoices。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Quote 1:N Booking（V1 UI 可限制常规场景为一次转单，但数据层不要强行 1:1）。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Booking 1:N Shipment，预留拆分/分批出运能力；V1 可优先实现 1 个 Booking 创建 1 个 Shipment 的正常路径。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Shipment 1:N Containers / TrackingEvents / Documents / Invoices。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7FA"/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禁止的建模方式：</w:t>
            </w:r>
            <w:r>
              <w:rPr>
                <w:rFonts w:ascii="Noto Sans CJK SC" w:hAnsi="Noto Sans CJK SC" w:eastAsia="Noto Sans CJK SC"/>
                <w:sz w:val="20"/>
              </w:rPr>
              <w:t>不要把 Quote、Booking、Shipment、Container、BL、Invoice 合成一个“大 Order”表。它们有不同生命周期、状态和权限。</w:t>
            </w:r>
          </w:p>
        </w:tc>
      </w:tr>
    </w:tbl>
    <w:p/>
    <w:p>
      <w:pPr>
        <w:pStyle w:val="Heading1"/>
      </w:pPr>
      <w:r>
        <w:t>7. 数据库设计基线</w:t>
      </w:r>
    </w:p>
    <w:p>
      <w:pPr>
        <w:pStyle w:val="Heading2"/>
      </w:pPr>
      <w:r>
        <w:t>7.1 通用字段</w:t>
      </w:r>
    </w:p>
    <w:p>
      <w:pPr>
        <w:pStyle w:val="CodeBlock"/>
        <w:keepLines/>
        <w:shd w:fill="F7F7F7"/>
      </w:pPr>
      <w:r>
        <w:rPr>
          <w:rFonts w:ascii="DejaVu Sans Mono" w:hAnsi="DejaVu Sans Mono" w:eastAsia="DejaVu Sans Mono"/>
          <w:sz w:val="17"/>
        </w:rPr>
        <w:t>id              UUID / bigint</w:t>
        <w:br/>
        <w:t xml:space="preserve"> tenant_id       NOT NULL (所有业务表)</w:t>
        <w:br/>
        <w:t xml:space="preserve"> created_at      timestamptz</w:t>
        <w:br/>
        <w:t xml:space="preserve"> updated_at      timestamptz</w:t>
        <w:br/>
        <w:t xml:space="preserve"> created_by      nullable user_id</w:t>
        <w:br/>
        <w:t xml:space="preserve"> updated_by      nullable user_id</w:t>
        <w:br/>
        <w:t xml:space="preserve"> version         integer (必要对象可用于乐观锁)</w:t>
        <w:br/>
      </w:r>
    </w:p>
    <w:p>
      <w:pPr>
        <w:pStyle w:val="Heading2"/>
      </w:pPr>
      <w:r>
        <w:t>7.2 核心索引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(tenant_id, id) / tenant_id 作为所有核心表基础索引。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Rate: (tenant_id, pol, pod, effective_date, expiry_date, container_type, carrier)。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Quote/Booking/Shipment/Invoice 编号采用 (tenant_id, xxx_no) UNIQUE。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TrackingEvent: (tenant_id, shipment_id, event_time)。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Document: (tenant_id, shipment_id, document_type, version)。</w:t>
      </w:r>
    </w:p>
    <w:p>
      <w:pPr>
        <w:pStyle w:val="Heading2"/>
      </w:pPr>
      <w:r>
        <w:t>7.3 金额与币种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金额禁止使用 float/double；PostgreSQL 使用 numeric/decimal。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所有金额字段必须配套 currency（ISO 4217 代码，如 USD/CNY/EUR）。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V1 报价采用“快照”保存：Quote 生成后保留当时 Rate/加价结果，后续 Rate 修改不能反向改变历史 Quote。</w:t>
      </w:r>
    </w:p>
    <w:p>
      <w:pPr>
        <w:pStyle w:val="Heading1"/>
      </w:pPr>
      <w:r>
        <w:t>8. 多租户与权限</w:t>
      </w:r>
    </w:p>
    <w:p>
      <w:pPr>
        <w:pStyle w:val="Heading2"/>
      </w:pPr>
      <w:r>
        <w:t>8.1 Tenant Scope</w:t>
      </w:r>
    </w:p>
    <w:p>
      <w:pPr>
        <w:pStyle w:val="CodeBlock"/>
        <w:keepLines/>
        <w:shd w:fill="F7F7F7"/>
      </w:pPr>
      <w:r>
        <w:rPr>
          <w:rFonts w:ascii="DejaVu Sans Mono" w:hAnsi="DejaVu Sans Mono" w:eastAsia="DejaVu Sans Mono"/>
          <w:sz w:val="17"/>
        </w:rPr>
        <w:t>Request</w:t>
        <w:br/>
        <w:t xml:space="preserve">  -&gt; Auth Guard</w:t>
        <w:br/>
        <w:t xml:space="preserve">  -&gt; Tenant Context</w:t>
        <w:br/>
        <w:t xml:space="preserve">  -&gt; RBAC / Policy</w:t>
        <w:br/>
        <w:t xml:space="preserve">  -&gt; Service</w:t>
        <w:br/>
        <w:t xml:space="preserve">  -&gt; Repository (tenant_id enforced)</w:t>
        <w:br/>
        <w:t xml:space="preserve">  -&gt; PostgreSQL</w:t>
        <w:br/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所有核心表强制 tenant_id NOT NULL。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Repository/Service 层所有 Query 默认带 Tenant Scope。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Customer Portal 再叠加 customer_company_id Scope。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可在 PostgreSQL 对高敏表启用 RLS 作为第二道防线，但不得依赖 RLS 代替应用层权限。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Super Admin 的跨租户访问必须显式进入平台管理上下文并写审计。</w:t>
      </w:r>
    </w:p>
    <w:p>
      <w:pPr>
        <w:pStyle w:val="Heading2"/>
      </w:pPr>
      <w:r>
        <w:t>8.2 RBAC + Data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Tenant Scope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Customer Scope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敏感权限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Freight Admin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全租户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全部客户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运价/账单/用户管理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Sales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本租户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负责客户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创建/调整 Quote 销售价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Operation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本租户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按订单权限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Booking/Shipment/Document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Finance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本租户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全部或指定客户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Invoice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Customer Admin/User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本租户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仅所属 customer_company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仅客户可见数据</w:t>
            </w:r>
          </w:p>
        </w:tc>
      </w:tr>
    </w:tbl>
    <w:p/>
    <w:p>
      <w:pPr>
        <w:pStyle w:val="Heading1"/>
      </w:pPr>
      <w:r>
        <w:t>9. API 设计规范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路径统一 /api/v1/...；资源使用复数名词。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REST 为主：GET 查询、POST 创建、PATCH 局部更新；状态动作可使用显式 action endpoint。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统一分页：page/pageSize 或 cursor，V1 建议后台列表统一 page/pageSize。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统一错误结构：code、message、details、requestId。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OpenAPI/Swagger 自动生成并作为前后端联调契约。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写操作需要鉴权、权限校验、Tenant Scope；关键 POST 支持 Idempotency-Key 或业务唯一键防重复。</w:t>
      </w:r>
    </w:p>
    <w:p>
      <w:pPr>
        <w:pStyle w:val="CodeBlock"/>
        <w:keepLines/>
        <w:shd w:fill="F7F7F7"/>
      </w:pPr>
      <w:r>
        <w:rPr>
          <w:rFonts w:ascii="DejaVu Sans Mono" w:hAnsi="DejaVu Sans Mono" w:eastAsia="DejaVu Sans Mono"/>
          <w:sz w:val="17"/>
        </w:rPr>
        <w:t>GET    /api/v1/rates?pol=YANTIAN&amp;pod=LOS_ANGELES</w:t>
        <w:br/>
        <w:t>POST   /api/v1/quotes</w:t>
        <w:br/>
        <w:t>GET    /api/v1/quotes/:id</w:t>
        <w:br/>
        <w:t>POST   /api/v1/quotes/:id/accept</w:t>
        <w:br/>
        <w:t>POST   /api/v1/bookings</w:t>
        <w:br/>
        <w:t>POST   /api/v1/bookings/:id/submit</w:t>
        <w:br/>
        <w:t>POST   /api/v1/bookings/:id/confirm</w:t>
        <w:br/>
        <w:t>POST   /api/v1/bookings/:id/release-so</w:t>
        <w:br/>
        <w:t>GET    /api/v1/shipments/:id</w:t>
        <w:br/>
        <w:t>POST   /api/v1/shipments/:id/events</w:t>
        <w:br/>
        <w:t>POST   /api/v1/shipments/:id/documents</w:t>
        <w:br/>
        <w:t>POST   /api/v1/invoices</w:t>
        <w:br/>
      </w:r>
    </w:p>
    <w:p>
      <w:pPr>
        <w:pStyle w:val="Heading1"/>
      </w:pPr>
      <w:r>
        <w:t>10. 状态机与业务规则</w:t>
      </w:r>
    </w:p>
    <w:p>
      <w:pPr>
        <w:pStyle w:val="Heading2"/>
      </w:pPr>
      <w:r>
        <w:t>10.1 Booking 状态</w:t>
      </w:r>
    </w:p>
    <w:p>
      <w:pPr>
        <w:pStyle w:val="CodeBlock"/>
        <w:keepLines/>
        <w:shd w:fill="F7F7F7"/>
      </w:pPr>
      <w:r>
        <w:rPr>
          <w:rFonts w:ascii="DejaVu Sans Mono" w:hAnsi="DejaVu Sans Mono" w:eastAsia="DejaVu Sans Mono"/>
          <w:sz w:val="17"/>
        </w:rPr>
        <w:t>DRAFT -&gt; SUBMITTED</w:t>
        <w:br/>
        <w:t>SUBMITTED -&gt; UNDER_REVIEW | CANCELLED</w:t>
        <w:br/>
        <w:t>UNDER_REVIEW -&gt; CONFIRMED | REJECTED | CANCELLED</w:t>
        <w:br/>
        <w:t>CONFIRMED -&gt; SO_RELEASED | CANCELLED</w:t>
        <w:br/>
        <w:t>SO_RELEASED -&gt; (Shipment lifecycle)</w:t>
        <w:br/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状态跳转由 BookingDomainService 校验 allowedTransitions。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每次状态变化记录 operator、timestamp、from/to、remark。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Quote/Invoice/Shipment 同样采用独立状态机，不复用一个通用 status 流程。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业务规则放 Domain/Service，不散落 Controller 或前端。</w:t>
      </w:r>
    </w:p>
    <w:p>
      <w:pPr>
        <w:pStyle w:val="Heading1"/>
      </w:pPr>
      <w:r>
        <w:t>11. 异步任务与事件</w:t>
      </w:r>
    </w:p>
    <w:p>
      <w:pPr>
        <w:pStyle w:val="CodeBlock"/>
        <w:keepLines/>
        <w:shd w:fill="F7F7F7"/>
      </w:pPr>
      <w:r>
        <w:rPr>
          <w:rFonts w:ascii="DejaVu Sans Mono" w:hAnsi="DejaVu Sans Mono" w:eastAsia="DejaVu Sans Mono"/>
          <w:sz w:val="17"/>
        </w:rPr>
        <w:t>Business Transaction</w:t>
        <w:br/>
        <w:t xml:space="preserve">   |</w:t>
        <w:br/>
        <w:t>Persist DB</w:t>
        <w:br/>
        <w:t xml:space="preserve">   |</w:t>
        <w:br/>
        <w:t>Publish Domain Event</w:t>
        <w:br/>
        <w:t xml:space="preserve">   |</w:t>
        <w:br/>
        <w:t>BullMQ Queue</w:t>
        <w:br/>
        <w:t xml:space="preserve">   |-----------|-----------|-----------|</w:t>
        <w:br/>
        <w:t xml:space="preserve"> Email       PDF        Excel       Webhook(future)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Job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重试/幂等要求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Rate Excel Import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Admin 上传 Excel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按 import_job_id 幂等；错误行可下载；失败可重跑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 PDF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 创建/手工生成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同版本 Quote 复用文件或按 version 生成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Email Notification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Booking/Shipment/Invoice 事件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至少 3 次退避重试；记录 message log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Future Tracking Sync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定时/外部 webhook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按 shipment+provider+event_key 去重</w:t>
            </w:r>
          </w:p>
        </w:tc>
      </w:tr>
    </w:tbl>
    <w:p/>
    <w:p>
      <w:pPr>
        <w:pStyle w:val="Heading1"/>
      </w:pPr>
      <w:r>
        <w:t>12. 文件与单证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文件实体只保存元数据和 object_key，不把二进制写入数据库。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对象存储 Bucket 默认私有；上传可使用后端签名的 pre-signed URL。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下载前必须校验 tenant_id、customer scope、customer_visible。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Document version 从 1 开始递增；同类文件保留历史版本，不覆盖。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允许配置 MIME/大小白名单；V1 可支持 PDF、XLSX、DOCX、JPG/PNG。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病毒扫描可作为生产强化项，但文件验证和扩展名/Content-Type 双校验必须有。</w:t>
      </w:r>
    </w:p>
    <w:p>
      <w:pPr>
        <w:pStyle w:val="CodeBlock"/>
        <w:keepLines/>
        <w:shd w:fill="F7F7F7"/>
      </w:pPr>
      <w:r>
        <w:rPr>
          <w:rFonts w:ascii="DejaVu Sans Mono" w:hAnsi="DejaVu Sans Mono" w:eastAsia="DejaVu Sans Mono"/>
          <w:sz w:val="17"/>
        </w:rPr>
        <w:t>documents</w:t>
        <w:br/>
        <w:t>- id</w:t>
        <w:br/>
        <w:t>- tenant_id</w:t>
        <w:br/>
        <w:t>- shipment_id</w:t>
        <w:br/>
        <w:t>- document_type</w:t>
        <w:br/>
        <w:t>- object_key</w:t>
        <w:br/>
        <w:t>- original_filename</w:t>
        <w:br/>
        <w:t>- mime_type</w:t>
        <w:br/>
        <w:t>- size_bytes</w:t>
        <w:br/>
        <w:t>- version</w:t>
        <w:br/>
        <w:t>- customer_visible</w:t>
        <w:br/>
        <w:t>- uploaded_by</w:t>
        <w:br/>
        <w:t>- created_at</w:t>
        <w:br/>
      </w:r>
    </w:p>
    <w:p>
      <w:pPr>
        <w:pStyle w:val="Heading1"/>
      </w:pPr>
      <w:r>
        <w:t>13. 前端架构</w:t>
      </w:r>
    </w:p>
    <w:p>
      <w:pPr>
        <w:pStyle w:val="CodeBlock"/>
        <w:keepLines/>
        <w:shd w:fill="F7F7F7"/>
      </w:pPr>
      <w:r>
        <w:rPr>
          <w:rFonts w:ascii="DejaVu Sans Mono" w:hAnsi="DejaVu Sans Mono" w:eastAsia="DejaVu Sans Mono"/>
          <w:sz w:val="17"/>
        </w:rPr>
        <w:t>apps/web/app/</w:t>
        <w:br/>
        <w:t>├─ (auth)/</w:t>
        <w:br/>
        <w:t>├─ portal/</w:t>
        <w:br/>
        <w:t>│  ├─ dashboard/</w:t>
        <w:br/>
        <w:t>│  ├─ rates/</w:t>
        <w:br/>
        <w:t>│  ├─ quotes/</w:t>
        <w:br/>
        <w:t>│  ├─ bookings/</w:t>
        <w:br/>
        <w:t>│  ├─ shipments/</w:t>
        <w:br/>
        <w:t>│  ├─ documents/</w:t>
        <w:br/>
        <w:t>│  └─ billing/</w:t>
        <w:br/>
        <w:t>└─ admin/</w:t>
        <w:br/>
        <w:t xml:space="preserve">   ├─ dashboard/</w:t>
        <w:br/>
        <w:t xml:space="preserve">   ├─ customers/</w:t>
        <w:br/>
        <w:t xml:space="preserve">   ├─ rates/</w:t>
        <w:br/>
        <w:t xml:space="preserve">   ├─ quotes/</w:t>
        <w:br/>
        <w:t xml:space="preserve">   ├─ bookings/</w:t>
        <w:br/>
        <w:t xml:space="preserve">   ├─ shipments/</w:t>
        <w:br/>
        <w:t xml:space="preserve">   ├─ billing/</w:t>
        <w:br/>
        <w:t xml:space="preserve">   ├─ users/</w:t>
        <w:br/>
        <w:t xml:space="preserve">   └─ settings/</w:t>
        <w:br/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Portal 与 Admin 在同一 Next.js App 内，通过路由和权限控制分离。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共享业务组件：RateTable、QuoteSummary、ShipmentTimeline、DocumentList、ContainerTable。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Server Component 用于初始数据与 SEO 无关的服务端加载；高交互表格/表单用 Client Component。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API Client 统一封装鉴权、错误、requestId 和刷新策略，页面不得直接散写 fetch。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大型表单使用 React Hook Form + Zod；错误信息与后端 validation code 映射。</w:t>
      </w:r>
    </w:p>
    <w:p>
      <w:pPr>
        <w:pStyle w:val="Heading1"/>
      </w:pPr>
      <w:r>
        <w:t>14. 安全设计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认证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安全 Cookie Session 或短期 Access Token + Refresh；密码使用 Argon2/bcrypt；重置 Token 一次性且过期。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授权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NestJS Guard + Policy/Data Scope；禁止仅依赖前端。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多租户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tenant_id 强制；Customer 二级 Scope；关键表可启用 RLS。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Web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CSRF（如 Cookie Auth）、XSS 防护、CSP、Security Headers。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API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Rate Limit、输入校验、DTO whitelist、body/file size limit。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文件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私有 Bucket、签名 URL、授权后下载、类型/大小校验。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审计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运价、Quote 手工改价、Invoice、权限、敏感配置必须审计。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Secrets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只放环境变量/Secret Manager；禁止提交 Git；不同环境不同 Secret。</w:t>
            </w:r>
          </w:p>
        </w:tc>
      </w:tr>
    </w:tbl>
    <w:p/>
    <w:p>
      <w:pPr>
        <w:pStyle w:val="Heading1"/>
      </w:pPr>
      <w:r>
        <w:t>15. 日志与可观测性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每个请求生成 requestId/correlationId，并贯穿 API、Queue、日志。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日志采用 JSON structured logging；严禁记录密码、Token、完整支付/敏感凭据。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Sentry 捕获前后端异常；错误日志包含 tenant_id、user_id、requestId，但注意最小化 PII。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Queue 监控：等待数、失败数、重试数；失败任务支持管理端或运维重放。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生产基础监控：CPU、内存、磁盘、DB 连接数、Redis、5xx 比例、P95 API 延迟。</w:t>
      </w:r>
    </w:p>
    <w:p>
      <w:pPr>
        <w:pStyle w:val="Heading1"/>
      </w:pPr>
      <w:r>
        <w:t>16. 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测试层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工具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必须覆盖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Unit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Jest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状态机、加价计算、权限 policy、金额/有效期规则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API Integration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Jest + Supertest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Auth/Tenant Scope、CRUD、非法状态跳转、事务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DB Integration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Test DB/PostgreSQL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唯一约束、事务回滚、复杂查询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E2E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Playwright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Rate→Quote→Booking→Shipment→Document→Invoice 主链路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Security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自动+人工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跨租户/跨客户访问、文件越权、IDOR、权限矩阵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UAT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真实试点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用真实 Rate/单据/账号走完整流程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7FA"/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CI Gate：</w:t>
            </w:r>
            <w:r>
              <w:rPr>
                <w:rFonts w:ascii="Noto Sans CJK SC" w:hAnsi="Noto Sans CJK SC" w:eastAsia="Noto Sans CJK SC"/>
                <w:sz w:val="20"/>
              </w:rPr>
              <w:t>核心 Unit/API 测试失败不得合并；主分支构建与数据库 migration check 必须通过。</w:t>
            </w:r>
          </w:p>
        </w:tc>
      </w:tr>
    </w:tbl>
    <w:p/>
    <w:p>
      <w:pPr>
        <w:pStyle w:val="Heading1"/>
      </w:pPr>
      <w:r>
        <w:t>17. DevOps 与部署</w:t>
      </w:r>
    </w:p>
    <w:p>
      <w:pPr>
        <w:pStyle w:val="CodeBlock"/>
        <w:keepLines/>
        <w:shd w:fill="F7F7F7"/>
      </w:pPr>
      <w:r>
        <w:rPr>
          <w:rFonts w:ascii="DejaVu Sans Mono" w:hAnsi="DejaVu Sans Mono" w:eastAsia="DejaVu Sans Mono"/>
          <w:sz w:val="17"/>
        </w:rPr>
        <w:t>Production Host / Cloud</w:t>
        <w:br/>
        <w:t>├─ Nginx</w:t>
        <w:br/>
        <w:t>├─ web container      (Next.js)</w:t>
        <w:br/>
        <w:t>├─ api container      (NestJS)</w:t>
        <w:br/>
        <w:t>├─ worker container   (BullMQ)</w:t>
        <w:br/>
        <w:t>├─ PostgreSQL         (优先托管数据库)</w:t>
        <w:br/>
        <w:t>├─ Redis              (优先托管或独立实例)</w:t>
        <w:br/>
        <w:t>└─ Object Storage     (S3/OSS/COS)</w:t>
        <w:br/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环境至少区分 local / staging / production。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数据库 Migration 作为部署流水线显式步骤，禁止应用启动时无控制自动改生产 schema。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生产数据库优先托管，启用自动备份与 Point-in-Time Recovery（条件允许）。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Nginx 负责 TLS、反向代理、基础安全头；应用仅暴露内网端口。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部署前执行 test → build → migration check → deploy → smoke test。</w:t>
      </w:r>
    </w:p>
    <w:p>
      <w:pPr>
        <w:pStyle w:val="Heading2"/>
      </w:pPr>
      <w:r>
        <w:t>17.1 GitHub Actions 建议</w:t>
      </w:r>
    </w:p>
    <w:p>
      <w:pPr>
        <w:pStyle w:val="CodeBlock"/>
        <w:keepLines/>
        <w:shd w:fill="F7F7F7"/>
      </w:pPr>
      <w:r>
        <w:rPr>
          <w:rFonts w:ascii="DejaVu Sans Mono" w:hAnsi="DejaVu Sans Mono" w:eastAsia="DejaVu Sans Mono"/>
          <w:sz w:val="17"/>
        </w:rPr>
        <w:t>Pull Request:</w:t>
        <w:br/>
        <w:t xml:space="preserve">  lint -&gt; typecheck -&gt; unit -&gt; api integration -&gt; build</w:t>
        <w:br/>
        <w:br/>
        <w:t>main merge:</w:t>
        <w:br/>
        <w:t xml:space="preserve">  test -&gt; build image -&gt; push registry -&gt; migrate -&gt; deploy staging/prod -&gt; smoke test</w:t>
        <w:br/>
      </w:r>
    </w:p>
    <w:p>
      <w:pPr>
        <w:pStyle w:val="Heading1"/>
      </w:pPr>
      <w:r>
        <w:t>18. 开发流程与代码规范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Trunk-based 或短生命周期 feature branch；PR 必须 Review。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TypeScript 开启 strict；禁止 any 泛滥。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Controller 只做协议层；Service/Domain 负责业务；Repository 负责数据访问。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DTO 与数据库 Model 分离，不直接把 Prisma Entity 原样返回客户。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日期统一存 timestamptz/UTC，展示按用户/租户时区转换。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金额使用 Decimal；业务编号由专门 NumberingService 生成。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每个功能必须包含 Acceptance Criteria 对应测试，避免“开发完成但无法验收”。</w:t>
      </w:r>
    </w:p>
    <w:p>
      <w:pPr>
        <w:pStyle w:val="Heading1"/>
      </w:pPr>
      <w:r>
        <w:t>19. 迭代实施计划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技术主题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主要交付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里程碑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W3–4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基础设施与权限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Monorepo、CI/CD、Tenant/Auth/RBAC、Customer、Audit、Object Storage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W5–7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Rate/Quote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Rate Schema、Excel Import Worker、Search、Pricing、Quote Snapshot、PDF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W8–10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Booking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Booking Domain/State Machine、Review、SO、通知事件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M3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W11–13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Shipment/Document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Shipment/Container、TrackingEvent、Document ACL/Version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M4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W14–16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Billing/White Label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Invoice、Notification、Brand/Domain、Dashboard、E2E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M5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W17–20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Production hardening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真实数据、权限/安全、性能、Bug、UAT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M6</w:t>
            </w:r>
          </w:p>
        </w:tc>
      </w:tr>
    </w:tbl>
    <w:p/>
    <w:p>
      <w:pPr>
        <w:pStyle w:val="Heading1"/>
      </w:pPr>
      <w:r>
        <w:t>附录 A. API 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Endpoint 基线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Auth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 /auth/login; POST /auth/forgot-password; POST /auth/reset-password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Customers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GET/POST /customers; GET/PATCH /customers/:id; /customers/:id/users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Rates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 /rates; POST /rates/import; GET /rate-imports/:id; CRUD /admin/rates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Quotes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 /quotes; GET /quotes; GET /quotes/:id; POST /quotes/:id/accept|reject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Bookings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 /bookings; GET /bookings/:id; POST /bookings/:id/submit|review|confirm|cancel|release-so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Shipments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GET/POST /shipments; GET /shipments/:id; PATCH /shipments/:id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Tracking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 /shipments/:id/events; GET /shipments/:id/events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Documents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 /shipments/:id/documents; GET /documents/:id/download; PATCH visibility/version metadata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Invoices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 /invoices; GET /invoices; GET /invoices/:id; POST /invoices/:id/confirm|mark-paid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Settings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GET/PATCH /tenant/settings; users/roles/branding/domain</w:t>
            </w:r>
          </w:p>
        </w:tc>
      </w:tr>
    </w:tbl>
    <w:p/>
    <w:p>
      <w:pPr>
        <w:pStyle w:val="Heading1"/>
      </w:pPr>
      <w:r>
        <w:t>附录 B. 数据表基线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表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关键字段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tenants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name, slug, status, plan, expires_at, branding_json, created_at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users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tenant_id, email, password_hash, role, status, customer_company_id?, last_login_at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customer_companies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tenant_id, name, sales_owner_id, status, markup_type/value, credit_terms?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rates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tenant_id, pol, pod, carrier, service, etd?, effective/expiry, container_type, cost_amount, currency, supplier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quotes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tenant_id, customer_id, quote_no, rate_snapshot_json, sell_amount, currency, validity, sales_id, status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bookings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tenant_id, customer_id, quote_id, booking_no, route, cargo_json, shipper_json, status, submitted_at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shipments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tenant_id, booking_id, shipment_no, carrier, vessel, voyage, pol/pod, etd/atd/eta/ata, mbl/hbl, status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containers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tenant_id, shipment_id, container_no, type, seal_no, weight, vgm, time fields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tracking_events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tenant_id, shipment_id, event_type, event_time, location, remark, customer_visible, operator_id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documents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tenant_id, shipment_id, type, object_key, filename, mime_type, size, version, customer_visible, uploaded_by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invoices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tenant_id, customer_id, shipment_id, invoice_no, currency, amount, due_date, status, document_id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audit_logs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tenant_id, user_id, action, entity_type/id, before_json, after_json, request_id, created_at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notifications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tenant_id, recipient, channel, event_type, payload_json, status, attempts, sent_at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A5A5A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A5A5A"/>
        <w:sz w:val="17"/>
      </w:rPr>
      <w:t>Freight Customer Portal SaaS · Technical Design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8" w:right="144"/>
    </w:pPr>
    <w:rPr>
      <w:rFonts w:ascii="DejaVu Sans Mono" w:hAnsi="DejaVu Sans Mono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