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mc="http://schemas.openxmlformats.org/markup-compatibility/2006">
  <w:body>
    <w:p>
      <w:pPr>
        <w:pStyle w:val="Heading1"/>
      </w:pPr>
      <w:r>
        <w:t xml:space="preserve">Протокол встречи с Ивановым А.А.</w:t>
      </w:r>
    </w:p>
    <w:p>
      <w:r>
        <w:t xml:space="preserve">Дата: 14.10.2026. Место: переговорная «Байкал».</w:t>
      </w:r>
    </w:p>
    <w:p>
      <w:r>
        <w:t xml:space="preserve">Участники:</w:t>
      </w:r>
    </w:p>
    <w:tbl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Участник</w:t>
            </w:r>
          </w:p>
        </w:tc>
        <w:tc>
          <w:tcPr>
            <w:tcW w:w="2000" w:type="dxa"/>
          </w:tcPr>
          <w:p>
            <w:r>
              <w:t xml:space="preserve">Роль</w:t>
            </w:r>
          </w:p>
        </w:tc>
      </w:tr>
      <w:tr>
        <w:tc>
          <w:tcPr>
            <w:tcW w:w="2000" w:type="dxa"/>
          </w:tcPr>
          <w:p>
            <w:r>
              <w:t xml:space="preserve">Иванов Алексей Андреевич</w:t>
            </w:r>
          </w:p>
        </w:tc>
        <w:tc>
          <w:tcPr>
            <w:tcW w:w="2000" w:type="dxa"/>
          </w:tcPr>
          <w:p>
            <w:r>
              <w:t xml:space="preserve">технический директор</w:t>
            </w:r>
          </w:p>
        </w:tc>
      </w:tr>
      <w:tr>
        <w:tc>
          <w:tcPr>
            <w:tcW w:w="2000" w:type="dxa"/>
          </w:tcPr>
          <w:p>
            <w:r>
              <w:t xml:space="preserve">Шевчук Мирослава</w:t>
            </w:r>
          </w:p>
        </w:tc>
        <w:tc>
          <w:tcPr>
            <w:tcW w:w="2000" w:type="dxa"/>
          </w:tcPr>
          <w:p>
            <w:r>
              <w:t xml:space="preserve">аналитик</w:t>
            </w:r>
          </w:p>
        </w:tc>
      </w:tr>
      <w:tr>
        <w:tc>
          <w:tcPr>
            <w:tcW w:w="2000" w:type="dxa"/>
          </w:tcPr>
          <w:p>
            <w:r>
              <w:t xml:space="preserve">Ахмедова Зарина</w:t>
            </w:r>
          </w:p>
        </w:tc>
        <w:tc>
          <w:tcPr>
            <w:tcW w:w="2000" w:type="dxa"/>
          </w:tcPr>
          <w:p>
            <w:r>
              <w:t xml:space="preserve">дизайнер</w:t>
            </w:r>
          </w:p>
        </w:tc>
      </w:tr>
      <w:tr>
        <w:tc>
          <w:tcPr>
            <w:tcW w:w="2000" w:type="dxa"/>
          </w:tcPr>
          <w:p>
            <w:r>
              <w:t xml:space="preserve">John Whitfield</w:t>
            </w:r>
          </w:p>
        </w:tc>
        <w:tc>
          <w:tcPr>
            <w:tcW w:w="2000" w:type="dxa"/>
          </w:tcPr>
          <w:p>
            <w:r>
              <w:t xml:space="preserve">консультант</w:t>
            </w:r>
          </w:p>
        </w:tc>
      </w:tr>
      <w:tr>
        <w:tc>
          <w:tcPr>
            <w:tcW w:w="2000" w:type="dxa"/>
          </w:tcPr>
          <w:p>
            <w:r>
              <w:t xml:space="preserve">Тимур Бекмамбетов</w:t>
            </w:r>
          </w:p>
        </w:tc>
        <w:tc>
          <w:tcPr>
            <w:tcW w:w="2000" w:type="dxa"/>
          </w:tcPr>
          <w:p>
            <w:r>
              <w:t xml:space="preserve">разработчик</w:t>
            </w:r>
          </w:p>
        </w:tc>
      </w:tr>
    </w:tbl>
    <w:p>
      <w:r>
        <w:t xml:space="preserve">Повестка: сроки второго этапа, бюджет на тестирование.</w:t>
      </w:r>
    </w:p>
    <w:p>
      <w:r>
        <w:t xml:space="preserve">Решили: Ахмедова З. готовит макеты к 20.10, Шевчук М. — отчёт по аналитике, Whitfield согласует бюджет.</w:t>
      </w:r>
    </w:p>
    <w:p>
      <w:r>
        <w:t xml:space="preserve">Секретарь</w:t>
      </w:r>
    </w:p>
    <w:p>
      <w:r>
        <w:t xml:space="preserve">ГОРБУНОВА В.С.</w:t>
      </w:r>
    </w:p>
  </w:body>
</w:document>
</file>