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keepLines/>
        <w:spacing w:after="340"/>
      </w:pPr>
      <w:r>
        <w:rPr>
          <w:rFonts w:ascii="Calibri" w:hAnsi="Calibri"/>
          <w:b/>
          <w:color w:val="000000"/>
          <w:sz w:val="30"/>
        </w:rPr>
        <w:t xml:space="preserve">BLOCO 3 — ACHADOS DA PESQUISA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 um paciente me disse, logo na primeira sessão: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 | DESACELERAR}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“Instagram é igual droga pra mim.”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Eu nunca esqueci essa frase.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Ela não demonstrava equivalência entre os dois fenômenos.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chamava atenção para experiências que eu escutava nos dois contextos: perda de controle, dificuldade de interromper e continuidade apesar dos prejuízos.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 questão não parecia ser apenas o tempo de tela. Parecia envolver a qualidade da relação que a pessoa construía com aquele comportamento: o que ele produzia, o que ajudava a aliviar ou evitar, e por que era tão difícil interrompê-lo.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Foi desse incômodo que surgiu a minha pesquisa.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RITMO +}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 pesquisa foi qualitativa e exploratória, desenvolvida a partir da análise do comportamento.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é importante delimitar o que isso significa. Eu trabalhei com os relatos que os participantes produziram sobre o próprio uso — não com observação direta. Por isso, os resultados não permitem estabelecer prevalência, causalidade ou diagnóstico, e não podem ser generalizados.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“Uso excessivo”, aqui, também não foi definido por critério diagnóstico nem por número de horas: baseou-se na autopercepção dos participantes e nos prejuízos que eles relatavam.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 pesquisa permitiu identificar padrões gerais — mas não construir uma formulação específica para cada plataforma ou para cada participante.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Feita essa delimitação, eu organizei os achados em três eixos: </w:t>
      </w:r>
      <w:r>
        <w:rPr>
          <w:rFonts w:ascii="Calibri" w:hAnsi="Calibri"/>
          <w:b/>
          <w:color w:val="000000"/>
          <w:sz w:val="24"/>
        </w:rPr>
        <w:t xml:space="preserve">antecedentes</w:t>
      </w:r>
      <w:r>
        <w:rPr>
          <w:rFonts w:ascii="Calibri" w:hAnsi="Calibri"/>
          <w:color w:val="000000"/>
          <w:sz w:val="24"/>
        </w:rPr>
        <w:t xml:space="preserve">, </w:t>
      </w:r>
      <w:r>
        <w:rPr>
          <w:rFonts w:ascii="Calibri" w:hAnsi="Calibri"/>
          <w:b/>
          <w:color w:val="000000"/>
          <w:sz w:val="24"/>
        </w:rPr>
        <w:t xml:space="preserve">consequências</w:t>
      </w:r>
      <w:r>
        <w:rPr>
          <w:rFonts w:ascii="Calibri" w:hAnsi="Calibri"/>
          <w:color w:val="000000"/>
          <w:sz w:val="24"/>
        </w:rPr>
        <w:t xml:space="preserve"> e </w:t>
      </w:r>
      <w:r>
        <w:rPr>
          <w:rFonts w:ascii="Calibri" w:hAnsi="Calibri"/>
          <w:b/>
          <w:color w:val="000000"/>
          <w:sz w:val="24"/>
        </w:rPr>
        <w:t xml:space="preserve">respostas de autocontrole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Vamos começar pelos </w:t>
      </w:r>
      <w:r>
        <w:rPr>
          <w:rFonts w:ascii="Calibri" w:hAnsi="Calibri"/>
          <w:b/>
          <w:color w:val="000000"/>
          <w:sz w:val="24"/>
        </w:rPr>
        <w:t xml:space="preserve">antecedentes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{ÊNFASE SÓ NOS NÚMEROS; DEPOIS VOLTAR AO TOM CONVERSACIONAL}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Nos </w:t>
      </w:r>
      <w:r>
        <w:rPr>
          <w:rFonts w:ascii="Calibri" w:hAnsi="Calibri"/>
          <w:b/>
          <w:color w:val="000000"/>
          <w:sz w:val="24"/>
        </w:rPr>
        <w:t xml:space="preserve">quatro</w:t>
      </w:r>
      <w:r>
        <w:rPr>
          <w:rFonts w:ascii="Calibri" w:hAnsi="Calibri"/>
          <w:color w:val="000000"/>
          <w:sz w:val="24"/>
        </w:rPr>
        <w:t xml:space="preserve"> relatos, o uso apareceu antes de dormir e nos intervalos. Também apareceram nos </w:t>
      </w:r>
      <w:r>
        <w:rPr>
          <w:rFonts w:ascii="Calibri" w:hAnsi="Calibri"/>
          <w:b/>
          <w:color w:val="000000"/>
          <w:sz w:val="24"/>
        </w:rPr>
        <w:t xml:space="preserve">quatro</w:t>
      </w:r>
      <w:r>
        <w:rPr>
          <w:rFonts w:ascii="Calibri" w:hAnsi="Calibri"/>
          <w:color w:val="000000"/>
          <w:sz w:val="24"/>
        </w:rPr>
        <w:t xml:space="preserve"> relatos as demandas sociais e a presença de outras pessoas mexendo no celular. Ao acordar, apareceu em </w:t>
      </w:r>
      <w:r>
        <w:rPr>
          <w:rFonts w:ascii="Calibri" w:hAnsi="Calibri"/>
          <w:b/>
          <w:color w:val="000000"/>
          <w:sz w:val="24"/>
        </w:rPr>
        <w:t xml:space="preserve">três</w:t>
      </w:r>
      <w:r>
        <w:rPr>
          <w:rFonts w:ascii="Calibri" w:hAnsi="Calibri"/>
          <w:color w:val="000000"/>
          <w:sz w:val="24"/>
        </w:rPr>
        <w:t xml:space="preserve"> relatos; no banheiro, em </w:t>
      </w:r>
      <w:r>
        <w:rPr>
          <w:rFonts w:ascii="Calibri" w:hAnsi="Calibri"/>
          <w:b/>
          <w:color w:val="000000"/>
          <w:sz w:val="24"/>
        </w:rPr>
        <w:t xml:space="preserve">dois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apareciam ainda as notificações e o simples fato de estar com o aparelho já aberto na mão.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Uma participante disse: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“Aí abre, e é tipo assim, direto eu já vou no Instagram, direto.”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Reparem que não há aí uma decisão planejada de entrar na rede.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Determinados contextos pareciam aumentar tanto a probabilidade do comportamento que, às vezes, quando a pessoa percebia, já estava usando.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Vamos para o segundo eixo: as </w:t>
      </w:r>
      <w:r>
        <w:rPr>
          <w:rFonts w:ascii="Calibri" w:hAnsi="Calibri"/>
          <w:b/>
          <w:color w:val="000000"/>
          <w:sz w:val="24"/>
        </w:rPr>
        <w:t xml:space="preserve">consequências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aqui apareceu uma variedade grande de funções. A rede podia oferecer informação, socialização, visibilidade, inspiração, retorno profissional e sensação de pertencimento. E podia também reduzir ansiedade, inquietação, tédio, medo de exclusão ou o contato com uma tarefa difícil.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Esse é um ponto central dos achados: o mesmo comportamento podia oferecer alguma coisa e, ao mesmo tempo, afastar outra. Às vezes, as duas funções apareciam juntas.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Eu quero abrir um parêntese aqui e trazer uma fala de outra pesquisa que eu realizei, com uma criadora de conteúdo no YouTube.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Ela dizia: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“Ganhei seguidor hoje, minha autoestima tá boa. Perdi seguidor hoje, minha autoestima tá péssima.”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Fecho o parêntese e volto aos quatro participantes.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Para alguns deles, o uso aparecia ligado a funções muito concretas da rotina: ajudar a pegar no sono, ajudar a despertar e até ajudar a usar o banheiro.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Nas palavras bastante coloquiais do próprio participante: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“[...] se eu não estiver com o celular, meu corpo dissociou de ir no banheiro assim. Ele fica meio burro assim, tipo: ‘cadê o celular pra eu ir?’”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Ele não está usando um conceito técnico. Está descrevendo como o celular tinha se acoplado a uma situação muito concreta do cotidiano — a ponto de ele sentir que precisava daquele recurso para conseguir funcionar ali.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Em outros relatos, o uso aparecia ligado ao medo de rejeição.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Uma participante contou que o WhatsApp parou de funcionar e que ela tentou resolver com muita urgência — uma urgência mobilizada pelo medo de que interpretassem o silêncio como desprezo.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Ela dizia: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“As pessoas vão achar que tô ignorando elas.”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Aqui, abrir o aplicativo não parecia movido por prazer ou entretenimento. Parecia funcionar como uma tentativa de reduzir ansiedade e medo de rejeição.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o próprio uso também produzia consequências aversivas. Nos </w:t>
      </w:r>
      <w:r>
        <w:rPr>
          <w:rFonts w:ascii="Calibri" w:hAnsi="Calibri"/>
          <w:b/>
          <w:color w:val="000000"/>
          <w:sz w:val="24"/>
        </w:rPr>
        <w:t xml:space="preserve">quatro</w:t>
      </w:r>
      <w:r>
        <w:rPr>
          <w:rFonts w:ascii="Calibri" w:hAnsi="Calibri"/>
          <w:color w:val="000000"/>
          <w:sz w:val="24"/>
        </w:rPr>
        <w:t xml:space="preserve"> relatos apareceram atrasos e perda da noção do tempo. Também surgiram interferências no trabalho, nos estudos e em atividades ou relações valorizadas.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é diante disso que chegamos ao terceiro eixo: as </w:t>
      </w:r>
      <w:r>
        <w:rPr>
          <w:rFonts w:ascii="Calibri" w:hAnsi="Calibri"/>
          <w:b/>
          <w:color w:val="000000"/>
          <w:sz w:val="24"/>
        </w:rPr>
        <w:t xml:space="preserve">respostas de autocontrole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Todos os </w:t>
      </w:r>
      <w:r>
        <w:rPr>
          <w:rFonts w:ascii="Calibri" w:hAnsi="Calibri"/>
          <w:b/>
          <w:color w:val="000000"/>
          <w:sz w:val="24"/>
        </w:rPr>
        <w:t xml:space="preserve">quatro</w:t>
      </w:r>
      <w:r>
        <w:rPr>
          <w:rFonts w:ascii="Calibri" w:hAnsi="Calibri"/>
          <w:color w:val="000000"/>
          <w:sz w:val="24"/>
        </w:rPr>
        <w:t xml:space="preserve"> relataram tentativas de fazer acordos consigo mesmos; </w:t>
      </w:r>
      <w:r>
        <w:rPr>
          <w:rFonts w:ascii="Calibri" w:hAnsi="Calibri"/>
          <w:b/>
          <w:color w:val="000000"/>
          <w:sz w:val="24"/>
        </w:rPr>
        <w:t xml:space="preserve">três</w:t>
      </w:r>
      <w:r>
        <w:rPr>
          <w:rFonts w:ascii="Calibri" w:hAnsi="Calibri"/>
          <w:color w:val="000000"/>
          <w:sz w:val="24"/>
        </w:rPr>
        <w:t xml:space="preserve"> desativavam notificações; e </w:t>
      </w:r>
      <w:r>
        <w:rPr>
          <w:rFonts w:ascii="Calibri" w:hAnsi="Calibri"/>
          <w:b/>
          <w:color w:val="000000"/>
          <w:sz w:val="24"/>
        </w:rPr>
        <w:t xml:space="preserve">um</w:t>
      </w:r>
      <w:r>
        <w:rPr>
          <w:rFonts w:ascii="Calibri" w:hAnsi="Calibri"/>
          <w:color w:val="000000"/>
          <w:sz w:val="24"/>
        </w:rPr>
        <w:t xml:space="preserve"> descreveu o ciclo de desinstalar e reinstalar os aplicativos.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 | TOM DE DESCOBERTA}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aqui apareceu um achado que eu considero um dos mais interessantes.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Para um dos participantes, desativar as notificações não reduziu as verificações. Pelo contrário: sem a notificação, ele não sabia o que estava acontecendo — e isso aumentava a necessidade de entrar no aplicativo para conferir.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Ou seja: uma mesma estratégia de autocontrole pode produzir efeitos diferentes conforme a pessoa, a função daquele uso e o contexto.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 fala mais forte desse eixo foi esta: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{RITMO +}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Reconhecimento do prejuízo. Desejo de mudar. Tentativa concreta de controle. E retorno ao comportamento.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 | VOZ DESCENDENTE}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Querer interromper não significava, necessariamente, conseguir sustentar a interrupção.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o que ajuda a interpretar essa persistência?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Um processo que me ajudou a compreender esses relatos foi o </w:t>
      </w:r>
      <w:r>
        <w:rPr>
          <w:rFonts w:ascii="Calibri" w:hAnsi="Calibri"/>
          <w:b/>
          <w:color w:val="000000"/>
          <w:sz w:val="24"/>
        </w:rPr>
        <w:t xml:space="preserve">reforçamento intermitente</w:t>
      </w:r>
      <w:r>
        <w:rPr>
          <w:rFonts w:ascii="Calibri" w:hAnsi="Calibri"/>
          <w:color w:val="000000"/>
          <w:sz w:val="24"/>
        </w:rPr>
        <w:t xml:space="preserve">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Uma postagem pode receber muita resposta. A próxima, quase nenhuma. Depois, outra pode alcançar um retorno muito maior. A pessoa não sabe quando virá o próximo retorno mais intenso — e a mesma lógica aparece no feed: você nunca sabe como será o próximo conteúdo.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É nesse aspecto específico — a imprevisibilidade do retorno, e não uma equivalência clínica ou diagnóstica — que existe uma aproximação com a lógica de uma máquina caça-níquel.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comportamentos mantidos por consequências imprevisíveis podem se tornar bastante persistentes. Ainda mais quando o acesso está sempre a um toque de distância.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Por fim, chamou atenção o fato de os próprios participantes utilizarem palavras como “vício” e “dependência”.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Essa era a linguagem que eles usavam para descrever a própria experiência — não uma conclusão diagnóstica da pesquisa.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{PARAR | OLHAR | DESACELERAR}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Uma das participantes resumiu essa experiência assim. É a fala que eu escolhi como epígrafe do trabalho: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2s}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 busca contínua por mais. A percepção do prejuízo. E a permanência do comportamento apesar dessa percepção.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Naquele grupo, o uso não era descrito apenas como frequente. Ele aparecia relacionado a antecedentes específicos, consequências reforçadoras, prejuízos, tentativas de regulação e dificuldade de sustentar o autocontrole.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O tempo de tela mostra </w:t>
      </w:r>
      <w:r>
        <w:rPr>
          <w:rFonts w:ascii="Calibri" w:hAnsi="Calibri"/>
          <w:b/>
          <w:color w:val="000000"/>
          <w:sz w:val="24"/>
        </w:rPr>
        <w:t xml:space="preserve">QUANTO</w:t>
      </w:r>
      <w:r>
        <w:rPr>
          <w:rFonts w:ascii="Calibri" w:hAnsi="Calibri"/>
          <w:color w:val="000000"/>
          <w:sz w:val="24"/>
        </w:rPr>
        <w:t xml:space="preserve"> a pessoa usa. Os antecedentes e as consequências ajudam a compreender </w:t>
      </w:r>
      <w:r>
        <w:rPr>
          <w:rFonts w:ascii="Calibri" w:hAnsi="Calibri"/>
          <w:b/>
          <w:color w:val="000000"/>
          <w:sz w:val="24"/>
        </w:rPr>
        <w:t xml:space="preserve">POR QUE</w:t>
      </w:r>
      <w:r>
        <w:rPr>
          <w:rFonts w:ascii="Calibri" w:hAnsi="Calibri"/>
          <w:color w:val="000000"/>
          <w:sz w:val="24"/>
        </w:rPr>
        <w:t xml:space="preserve"> aquele uso se repete naquela história.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 | OLHAR}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Então, a pesquisa não respondeu se essas pessoas tinham um transtorno.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Ela ajudou a formular outra pergunta:</w:t>
      </w:r>
    </w:p>
    <w:p>
      <w:pPr>
        <w:keepNext/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Quando existe sofrimento ou prejuízo associado a um comportamento que não corresponde a uma categoria diagnóstica específica, o que a clínica faz com essa informação?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{VOZ DESCENDENTE | SILÊNCIO 2s}</w:t>
      </w:r>
    </w:p>
    <w:sectPr>
      <w:headerReference w:type="first" r:id="rIdHdrF"/>
      <w:headerReference w:type="default" r:id="rIdHdr"/>
      <w:footerReference w:type="default" r:id="rIdFtr"/>
      <w:titlePg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3 — Achados da pesquisa | página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/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3 — Achados da pesquisa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HdrF" Type="http://schemas.openxmlformats.org/officeDocument/2006/relationships/header" Target="header1.xml"/><Relationship Id="rIdHdr" Type="http://schemas.openxmlformats.org/officeDocument/2006/relationships/header" Target="header2.xml"/><Relationship Id="rIdFtr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