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200"/>
      </w:pPr>
      <w:r>
        <w:rPr>
          <w:rFonts w:ascii="Calibri" w:hAnsi="Calibri"/>
          <w:b/>
          <w:color w:val="000000"/>
          <w:sz w:val="30"/>
        </w:rPr>
        <w:t xml:space="preserve">MAPA DE RECUPERAÇÃO — 25 DE JULHO DE 2026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{Se travar, procure aqui a próxima frase. Uma página. Não vire.}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ABERTURA — 3min51s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Abre: “Boa tarde, pessoal, tudo bem?”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Ideia: “Do que é que estamos diante em uma situação assim?”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Âncoras: “Eu sei que estou perdendo alguma coisa da minha vida” → o paciente com transtorno por uso de cocaína → “Meu nome é Camila Freitas”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Fecha em: “precisamos olhar para a RELAÇÃO que a pessoa foi CONSTRUINDO com esse USO ao longo do tempo.”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BLOCO 1 — AMPLIAÇÃO DA ESCUTA — 11min14s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Abre: “Para compreender uma relação que a pessoa foi construindo com o uso ao longo do tempo”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Ideia: “Mas, sozinhas, essas perguntas ainda não explicam O QUE ESTÁ SUSTENTANDO aquele comportamento de uso.”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Âncoras: “POR QUE SERÁ QUE ISSO ACONTECE?” → “Pode vir PRAZER” → “SELEÇÃO PELAS CONSEQUÊNCIAS” → “DIA ESTRESSANTE → USO DE SUBSTÂNCIA” → “Era um homem de 33 anos” → “FALHA MORAL”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Transição: “A partir daí, uma nova pergunta se torna necessária:”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Fecha em: “Que FUNÇÃO esse uso passou a cumprir na vida daquela pessoa?”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BLOCO 2 — FUNÇÃO DO COMPORTAMENTO — 12min09s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Abre: “Agora, a questão deixa de ser apenas como o comportamento ganha força.”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Ideia: “O USO, muitas vezes, é FORTALECIDO PELA EXPERIÊNCIA INTEIRA.”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Âncoras: “REFORÇO POSITIVO” e “REFORÇO NEGATIVO” → “uma versão melhor de mim” → “duas pessoas que utilizam a mesma substância” → “menos em torno de FICAR BEM e mais em torno de NÃO FICAR MAL” → “TOLERÂNCIA” → “eu sou tudo melhorado” → a internação → “AMPLIAR O REPERTÓRIO”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Transição: “Até aqui, eu falei sobre como essa lógica aparece no transtorno por uso de substâncias.”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Fecha em: “Esses processos também aparecem nos relatos das pessoas sobre a relação com as redes?”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BLOCO 3 — ACHADOS DA PESQUISA — 11min27s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Abre: “Enquanto eu desenvolvia essa pesquisa, eu também fazia estágio no PROAD”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Ideia: os três eixos — antecedentes, consequências e respostas de autocontrole.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Âncoras: “Instagram é igual droga pra mim” → método e limites → “Aí abre, e é tipo assim, direto eu já vou no Instagram, direto.” → o banheiro → o WhatsApp → as notificações → “vou instalar de novo” → reforçamento intermitente → epígrafe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Fecha em: “o que a clínica faz com essa informação?”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BLOCO 4 — CONCLUSÃO — 7min43s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Abre: “Para concluir, eu quero voltar ao rapaz de 19 anos que apresentei no início.”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Ideia: o que os achados exigem da formulação clínica e do cuidado.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Âncoras: “julgavam o comportamento” → DSM-5-TR e CID-11 → as quatro perguntas → Rafael → medicação e repertório → psiquiatra e psicólogo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AS QUATRO PERGUNTAS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1. O que costuma acontecer antes?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2. O que esse comportamento oferece ou ajuda a afastar?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3. Quais custos esse comportamento está produzindo?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4. Se esse comportamento for reduzido ou interrompido, o que ficará sem resposta?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FRASES QUE NÃO PODEM SAIR ERRADAS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“Mas essas palavras julgavam o comportamento; não explicavam o caso.”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“O risco define a prioridade, mas não esgota a formulação.”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“O tempo de tela mostra QUANTO a pessoa usa. Os antecedentes e as consequências ajudam a compreender POR QUE aquele uso se repete naquela história.”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ÚLTIMO MINUTO — de cor, sem roteiro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“Se vocês saírem daqui com uma ideia, eu gostaria que fosse esta: diante de um comportamento repetitivo, difícil de interromper e associado a prejuízos, não observem apenas quanto a pessoa usa ou como fazê-la parar. Procurem compreender o que acontece antes, o que esse comportamento oferece ou afasta, quais prejuízos produz e o que precisará ser construído para que outra resposta se torne realmente possível.”</w:t>
      </w:r>
    </w:p>
    <w:p>
      <w:pPr>
        <w:keepLines/>
        <w:spacing w:after="70"/>
      </w:pPr>
      <w:r>
        <w:rPr>
          <w:rFonts w:ascii="Calibri" w:hAnsi="Calibri"/>
          <w:color w:val="000000"/>
          <w:sz w:val="18"/>
        </w:rPr>
        <w:t xml:space="preserve">“Porque o comportamento que vemos não conta sozinho a história inteira. Por trás dele, pode haver uma história de reforçamento, experiências de sofrimento, necessidades não atendidas e recursos que ainda não foram construídos.”</w:t>
      </w:r>
    </w:p>
    <w:p>
      <w:pPr>
        <w:keepLines/>
        <w:spacing w:after="70"/>
      </w:pPr>
      <w:r>
        <w:rPr>
          <w:rFonts w:ascii="Calibri" w:hAnsi="Calibri"/>
          <w:b/>
          <w:color w:val="000000"/>
          <w:sz w:val="18"/>
        </w:rPr>
        <w:t xml:space="preserve">“Porque o cuidado não termina quando o comportamento para. Ele se sustenta quando a vida se torna mais ampla, mais valiosa e volta a oferecer outras respostas.”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3s} Obrigada.</w:t>
      </w:r>
    </w:p>
    <w:sectPr>
      <w:headerReference w:type="first" r:id="rIdHdrF"/>
      <w:headerReference w:type="default" r:id="rIdHdr"/>
      <w:footerReference w:type="default" r:id="rIdFtr"/>
      <w:titlePg/>
      <w:cols w:num="2" w:space="400"/>
      <w:pgSz w:w="16838" w:h="11906" w:orient="landscape"/>
      <w:pgMar w:top="560" w:right="620" w:bottom="560" w:left="620" w:header="280" w:footer="2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Mapa de recuperação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Mapa de recuperação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