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keepLines/>
        <w:spacing w:after="240" w:line="300" w:lineRule="auto"/>
      </w:pPr>
      <w:r>
        <w:rPr>
          <w:rFonts w:ascii="Calibri" w:hAnsi="Calibri"/>
          <w:b/>
          <w:color w:val="000000"/>
          <w:sz w:val="32"/>
        </w:rPr>
        <w:t xml:space="preserve">BLOCO 3 — ACHADOS DA PESQUISA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{OLHAR PARA A PLATEIA | DESACELERAR}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um paciente me disse, logo na primeira sessão: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“Instagram é igual droga pra mim.”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2s}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Eu nunca esqueci essa frase.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não demonstrava equivalência entre os dois fenômenos.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Foi desse incômodo que surgiu a minha pesquisa.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{RITMO + | é o método: dizer com segurança, sem soar defensiva}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pesquisa foi qualitativa e exploratória, desenvolvida a partir da análise do comportamento.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{NÃO CORRER | os três eixos organizam tudo o que vem}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Feita essa delimitação, eu organizei os achados em três eixos: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,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 e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Vamos começar pelos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{ÊNFASE nos números}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relatos, o uso apareceu antes de dormir e nos intervalos. Também apareceram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as demandas sociais e a presença de outras pessoas mexendo no celular. Ao acordar, apareceu em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relatos; no banheiro, em </w:t>
      </w:r>
      <w:r>
        <w:rPr>
          <w:rFonts w:ascii="Calibri" w:hAnsi="Calibri"/>
          <w:b/>
          <w:color w:val="000000"/>
          <w:sz w:val="24"/>
        </w:rPr>
        <w:t xml:space="preserve">dois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{ACOLHEDOR | a fala é dela, não sua}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participante disse: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“Aí abre, e é tipo assim, direto eu já vou no Instagram, direto.”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1s | DESACELERAR — é interpretação, não dado}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Reparem que não há aí uma decisão planejada de entrar na rede.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{NÃO CORRER}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Vamos para o segundo eixo: as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{FIRME | SUSTENTAR A FRASE}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“Ganhei seguidor hoje, minha autoestima tá boa. Perdi seguidor hoje, minha autoestima tá péssima.”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Fecho o parêntese e volto aos quatro participantes.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{ACOLHEDOR | sem imitar o participante}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Nas palavras bastante coloquiais do próprio participante: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1s | volta a ser você falando}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Em outros relatos, o uso aparecia ligado ao medo de rejeição.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“As pessoas vão achar que tô ignorando elas.”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{ÊNFASE nos números}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Mas o próprio uso também produzia consequências aversivas.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é diante disso que chegamos ao terceiro eixo: as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Todos 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relataram tentativas de fazer acordos consigo mesmos;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desativavam notificações; e </w:t>
      </w:r>
      <w:r>
        <w:rPr>
          <w:rFonts w:ascii="Calibri" w:hAnsi="Calibri"/>
          <w:b/>
          <w:color w:val="000000"/>
          <w:sz w:val="24"/>
        </w:rPr>
        <w:t xml:space="preserve">um</w:t>
      </w:r>
      <w:r>
        <w:rPr>
          <w:rFonts w:ascii="Calibri" w:hAnsi="Calibri"/>
          <w:color w:val="000000"/>
          <w:sz w:val="24"/>
        </w:rPr>
        <w:t xml:space="preserve"> descreveu o ciclo de desinstalar e reinstalar os aplicativos.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 | tom de descoberta — não entregue o sentido antes}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aqui apareceu um achado que eu considero um dos mais interessantes.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2s}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{OLHAR PARA A PLATEIA}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a fala mais forte desse eixo foi esta: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{RITMO +}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{BAIXAR LEVEMENTE O TOM | SUSTENTAR A FRASE}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Querer interromper não significava, necessariamente, conseguir sustentar a interrupção.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o que ajuda a interpretar essa persistência?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{NÃO CORRER | conceito}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 processo que me ajudou a compreender esses relatos foi o </w:t>
      </w:r>
      <w:r>
        <w:rPr>
          <w:rFonts w:ascii="Calibri" w:hAnsi="Calibri"/>
          <w:b/>
          <w:color w:val="000000"/>
          <w:sz w:val="24"/>
        </w:rPr>
        <w:t xml:space="preserve">reforçamento intermitente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Por fim, chamou atenção o fato de os próprios participantes utilizarem palavras como “vício” e “dependência”.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 | OLHAR PARA A PLATEIA}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Uma das participantes resumiu essa experiência assim. É a fala que eu escolhi como epígrafe do trabalho:</w:t>
      </w:r>
    </w:p>
    <w:p>
      <w:pPr>
        <w:keepLines/>
        <w:ind w:left="454" w:right="284"/>
        <w:spacing w:after="160" w:line="300" w:lineRule="auto"/>
      </w:pPr>
      <w:r>
        <w:rPr>
          <w:rFonts w:ascii="Calibri" w:hAnsi="Calibri"/>
          <w:i/>
          <w:color w:val="1F3864"/>
          <w:sz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{SILÊNCIO 3s}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A busca contínua por mais. A percepção do prejuízo. E a permanência do comportamento apesar dessa percepção.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{FIRME | ÊNFASE em QUANTO e em POR QUE}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O tempo de tela mostra </w:t>
      </w:r>
      <w:r>
        <w:rPr>
          <w:rFonts w:ascii="Calibri" w:hAnsi="Calibri"/>
          <w:b/>
          <w:color w:val="000000"/>
          <w:sz w:val="24"/>
        </w:rPr>
        <w:t xml:space="preserve">QUANTO</w:t>
      </w:r>
      <w:r>
        <w:rPr>
          <w:rFonts w:ascii="Calibri" w:hAnsi="Calibri"/>
          <w:b/>
          <w:color w:val="000000"/>
          <w:sz w:val="24"/>
        </w:rPr>
        <w:t xml:space="preserve"> a pessoa usa. Os antecedentes e as consequências ajudam a compreender </w:t>
      </w:r>
      <w:r>
        <w:rPr>
          <w:rFonts w:ascii="Calibri" w:hAnsi="Calibri"/>
          <w:b/>
          <w:color w:val="000000"/>
          <w:sz w:val="24"/>
        </w:rPr>
        <w:t xml:space="preserve">POR QUE</w:t>
      </w:r>
      <w:r>
        <w:rPr>
          <w:rFonts w:ascii="Calibri" w:hAnsi="Calibri"/>
          <w:b/>
          <w:color w:val="000000"/>
          <w:sz w:val="24"/>
        </w:rPr>
        <w:t xml:space="preserve"> aquele uso se repete naquela história.</w:t>
      </w:r>
    </w:p>
    <w:p>
      <w:pPr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Então, a pesquisa não respondeu se essas pessoas tinham um transtorno.</w:t>
      </w:r>
    </w:p>
    <w:p>
      <w:pPr>
        <w:keepNext/>
        <w:keepLines/>
        <w:spacing w:after="160" w:line="300" w:lineRule="auto"/>
      </w:pPr>
      <w:r>
        <w:rPr>
          <w:rFonts w:ascii="Calibri" w:hAnsi="Calibri"/>
          <w:color w:val="000000"/>
          <w:sz w:val="24"/>
        </w:rPr>
        <w:t xml:space="preserve">Ela ajudou a formular outra pergunta:</w:t>
      </w:r>
    </w:p>
    <w:p>
      <w:pPr>
        <w:keepNext/>
        <w:keepLines/>
        <w:spacing w:before="80" w:after="60" w:line="240" w:lineRule="auto"/>
      </w:pPr>
      <w:r>
        <w:rPr>
          <w:rFonts w:ascii="Calibri" w:hAnsi="Calibri"/>
          <w:b/>
          <w:color w:val="9C4221"/>
          <w:sz w:val="19"/>
        </w:rPr>
        <w:t xml:space="preserve">{DESACELERAR | é a pergunta que abre o próximo bloco}</w:t>
      </w:r>
    </w:p>
    <w:p>
      <w:pPr>
        <w:keepLines/>
        <w:spacing w:after="160" w:line="300" w:lineRule="auto"/>
      </w:pPr>
      <w:r>
        <w:rPr>
          <w:rFonts w:ascii="Calibri" w:hAnsi="Calibri"/>
          <w:b/>
          <w:color w:val="000000"/>
          <w:sz w:val="24"/>
        </w:rPr>
        <w:t xml:space="preserve">Quando existe sofrimento ou prejuízo associado a um comportamento que não corresponde a uma categoria diagnóstica específica, o que a clínica faz com essa informação?</w:t>
      </w:r>
    </w:p>
    <w:sectPr>
      <w:footerReference w:type="default" r:id="rIdFtr"/>
      <w:pgSz w:w="11906" w:h="16838"/>
      <w:pgMar w:top="1418" w:right="1418" w:bottom="1418" w:left="1418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3 —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/</w:t>
    </w:r>
    <w:r>
      <w:fldChar w:fldCharType="begin"/>
    </w:r>
    <w:r>
      <w:instrText xml:space="preserve"> NUMPAGES </w:instrTex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tr" Type="http://schemas.openxmlformats.org/officeDocument/2006/relationships/footer" Target="footer1.xml"/></Relationships>
</file>