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keepLines/>
        <w:spacing w:after="240" w:line="300" w:lineRule="auto"/>
      </w:pPr>
      <w:r>
        <w:rPr>
          <w:rFonts w:ascii="Calibri" w:hAnsi="Calibri"/>
          <w:b/>
          <w:color w:val="000000"/>
          <w:sz w:val="32"/>
        </w:rPr>
        <w:t xml:space="preserve">BLOCO 3 — ACHADOS DA PESQUISA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um paciente me disse, logo na primeira sessão: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“Instagram é igual droga pra mim.”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Eu nunca esqueci essa frase.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Ela não demonstrava equivalência entre os dois fenômenos.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Foi desse incômodo que surgiu a minha pesquisa.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pesquisa foi qualitativa e exploratória, desenvolvida a partir da análise do comportamento.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Feita essa delimitação, eu organizei os achados em três eixos: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,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 e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Vamos começar pelos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relatos, o uso apareceu antes de dormir e nos intervalos. Também apareceram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as demandas sociais e a presença de outras pessoas mexendo no celular. Ao acordar, apareceu em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relatos; no banheiro, em </w:t>
      </w:r>
      <w:r>
        <w:rPr>
          <w:rFonts w:ascii="Calibri" w:hAnsi="Calibri"/>
          <w:b/>
          <w:color w:val="000000"/>
          <w:sz w:val="24"/>
        </w:rPr>
        <w:t xml:space="preserve">dois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Uma participante disse: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“Aí abre, e é tipo assim, direto eu já vou no Instagram, direto.”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Reparem que não há aí uma decisão planejada de entrar na rede.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Determinados contextos pareciam aumentar tanto a probabilidade do comportamento que, às vezes, quando a pessoa percebia, já estava usando.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Vamos para o segundo eixo: as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“Ganhei seguidor hoje, minha autoestima tá boa. Perdi seguidor hoje, minha autoestima tá péssima.”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Fecho o parêntese e volto aos quatro participantes.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Nas palavras bastante coloquiais do próprio participante: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Em outros relatos, o uso aparecia ligado ao medo de rejeição.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“As pessoas vão achar que tô ignorando elas.”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o próprio uso também produzia consequências aversivas.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é diante disso que chegamos ao terceiro eixo: as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Todos 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relataram tentativas de fazer acordos consigo mesmos;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desativavam notificações; e </w:t>
      </w:r>
      <w:r>
        <w:rPr>
          <w:rFonts w:ascii="Calibri" w:hAnsi="Calibri"/>
          <w:b/>
          <w:color w:val="000000"/>
          <w:sz w:val="24"/>
        </w:rPr>
        <w:t xml:space="preserve">um</w:t>
      </w:r>
      <w:r>
        <w:rPr>
          <w:rFonts w:ascii="Calibri" w:hAnsi="Calibri"/>
          <w:color w:val="000000"/>
          <w:sz w:val="24"/>
        </w:rPr>
        <w:t xml:space="preserve"> descreveu o ciclo de desinstalar e reinstalar os aplicativos.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aqui apareceu um achado que eu considero um dos mais interessantes.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 fala mais forte desse eixo foi esta: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Reconhecimento do prejuízo. Desejo de mudar. Tentativa concreta de controle. E retorno ao comportamento.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Querer interromper não significava, necessariamente, conseguir sustentar a interrupção.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o que ajuda a interpretar essa persistência?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 processo que me ajudou a compreender esses relatos foi o </w:t>
      </w:r>
      <w:r>
        <w:rPr>
          <w:rFonts w:ascii="Calibri" w:hAnsi="Calibri"/>
          <w:b/>
          <w:color w:val="000000"/>
          <w:sz w:val="24"/>
        </w:rPr>
        <w:t xml:space="preserve">reforçamento intermitente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Por fim, chamou atenção o fato de os próprios participantes utilizarem palavras como “vício” e “dependência”.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Essa era a linguagem que eles usavam para descrever a própria experiência — não uma conclusão diagnóstica da pesquisa.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Uma das participantes resumiu essa experiência assim. É a fala que eu escolhi como epígrafe do trabalho: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busca contínua por mais. A percepção do prejuízo. E a permanência do comportamento apesar dessa percepção.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O tempo de tela mostra </w:t>
      </w:r>
      <w:r>
        <w:rPr>
          <w:rFonts w:ascii="Calibri" w:hAnsi="Calibri"/>
          <w:b/>
          <w:color w:val="000000"/>
          <w:sz w:val="24"/>
        </w:rPr>
        <w:t xml:space="preserve">QUANTO</w:t>
      </w:r>
      <w:r>
        <w:rPr>
          <w:rFonts w:ascii="Calibri" w:hAnsi="Calibri"/>
          <w:b/>
          <w:color w:val="000000"/>
          <w:sz w:val="24"/>
        </w:rPr>
        <w:t xml:space="preserve"> a pessoa usa. Os antecedentes e as consequências ajudam a compreender </w:t>
      </w:r>
      <w:r>
        <w:rPr>
          <w:rFonts w:ascii="Calibri" w:hAnsi="Calibri"/>
          <w:b/>
          <w:color w:val="000000"/>
          <w:sz w:val="24"/>
        </w:rPr>
        <w:t xml:space="preserve">POR QUE</w:t>
      </w:r>
      <w:r>
        <w:rPr>
          <w:rFonts w:ascii="Calibri" w:hAnsi="Calibri"/>
          <w:b/>
          <w:color w:val="000000"/>
          <w:sz w:val="24"/>
        </w:rPr>
        <w:t xml:space="preserve"> aquele uso se repete naquela história.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Então, a pesquisa não respondeu se essas pessoas tinham um transtorno.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Ela ajudou a formular outra pergunta: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Quando existe sofrimento ou prejuízo associado a um comportamento que não corresponde a uma categoria diagnóstica específica, o que a clínica faz com essa informação?</w:t>
      </w:r>
    </w:p>
    <w:sectPr>
      <w:footerReference w:type="default" r:id="rIdFtr"/>
      <w:pgSz w:w="11906" w:h="16838"/>
      <w:pgMar w:top="1418" w:right="1418" w:bottom="1418" w:left="1418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3 —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/</w:t>
    </w:r>
    <w:r>
      <w:fldChar w:fldCharType="begin"/>
    </w:r>
    <w:r>
      <w:instrText xml:space="preserve"> NUMPAGES </w:instrTex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tr" Type="http://schemas.openxmlformats.org/officeDocument/2006/relationships/footer" Target="footer1.xml"/></Relationships>
</file>