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BLOCO 3 — ACHADOS DA PESQUISA — 25 DE JULHO DE 2026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Enquanto eu desenvolvia essa pesquisa, eu também fazia estágio no PROAD — o Programa de Orientação e Atendimento a Dependentes da Unifesp, no CAISM — e atendia pessoas com transtorno por uso de substâncias.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E um paciente me disse, logo na primeira sessão:</w:t>
      </w:r>
    </w:p>
    <w:p>
      <w:pPr>
        <w:keepNext/>
        <w:spacing w:after="140"/>
        <w:ind w:left="480"/>
      </w:pPr>
      <w:r>
        <w:rPr>
          <w:rFonts w:ascii="Calibri" w:cs="Calibri" w:eastAsia="Calibri" w:hAnsi="Calibri"/>
          <w:i/>
          <w:iCs/>
          <w:sz w:val="24"/>
          <w:szCs w:val="24"/>
        </w:rPr>
        <w:t xml:space="preserve">“Instagram é igual droga pra mim.”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Eu nunca esqueci essa frase.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Ela não demonstrava equivalência entre os dois fenômenos.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Mas chamava atenção para experiências que eu escutava nos dois contextos: perda de controle, dificuldade de interromper e continuidade apesar dos prejuízos.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E a questão não parecia ser apenas o tempo de tela. Parecia envolver a qualidade da relação que a pessoa construía com aquele comportamento: o que ele produzia, o que ajudava a aliviar ou evitar, e por que era tão difícil interrompê-lo.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Foi desse incômodo que surgiu a minha pesquisa.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 breve]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Eu realizei entrevistas semiestruturadas com quatro pessoas, entre 25 e 30 anos, que descreviam o próprio uso como excessivo, difícil de controlar e associado a algum prejuízo.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A pesquisa foi qualitativa e exploratória, desenvolvida a partir da análise do comportamento.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E é importante delimitar o que isso significa. Eu trabalhei com os relatos que os participantes produziram sobre o próprio uso — não com observação direta. Por isso, os resultados não permitem estabelecer prevalência, causalidade ou diagnóstico, e não podem ser generalizados.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“Uso excessivo”, aqui, também não foi definido por critério diagnóstico nem por número de horas: baseou-se na autopercepção dos participantes e nos prejuízos que eles relatavam.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A pesquisa permitiu identificar padrões gerais — mas não construir uma formulação específica para cada plataforma ou para cada participante.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Feita essa delimitação, eu organizei os achados em três eixos: antecedentes, consequências e respostas de autocontrole.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Vamos começar pelos antecedentes.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Nos quatro relatos, o uso apareceu antes de dormir e nos intervalos. Também apareceram, nos quatro, demandas sociais e outras pessoas mexendo no celular. Ao acordar, apareceu em três relatos; no banheiro, em dois.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E apareciam ainda as notificações e o simples fato de estar com o aparelho já aberto na mão.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Uma participante disse:</w:t>
      </w:r>
    </w:p>
    <w:p>
      <w:pPr>
        <w:keepNext/>
        <w:spacing w:after="140"/>
        <w:ind w:left="480"/>
      </w:pPr>
      <w:r>
        <w:rPr>
          <w:rFonts w:ascii="Calibri" w:cs="Calibri" w:eastAsia="Calibri" w:hAnsi="Calibri"/>
          <w:i/>
          <w:iCs/>
          <w:sz w:val="24"/>
          <w:szCs w:val="24"/>
        </w:rPr>
        <w:t xml:space="preserve">“Aí abre, e é tipo assim, direto eu já vou no Instagram, direto.”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Reparem que não há aí uma decisão planejada de entrar na rede.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Determinados contextos pareciam aumentar tanto a probabilidade do comportamento que, às vezes, quando a pessoa percebia, já estava usando.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Vamos para o segundo eixo: as consequências.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E aqui apareceu uma variedade grande de funções. A rede podia oferecer informação, socialização, visibilidade, inspiração, retorno profissional e sensação de pertencimento. E podia também reduzir ansiedade, inquietação, tédio, medo de exclusão ou o contato com uma tarefa difícil.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[ênfase]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Esse é um ponto central dos achados: o mesmo comportamento podia oferecer alguma coisa e, ao mesmo tempo, afastar outra. Às vezes, as duas funções apareciam juntas.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Eu quero abrir um parêntese aqui e trazer uma fala de outra pesquisa que eu realizei, com uma criadora de conteúdo no YouTube.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Ela dizia:</w:t>
      </w:r>
    </w:p>
    <w:p>
      <w:pPr>
        <w:keepNext/>
        <w:spacing w:after="140"/>
        <w:ind w:left="480"/>
      </w:pPr>
      <w:r>
        <w:rPr>
          <w:rFonts w:ascii="Calibri" w:cs="Calibri" w:eastAsia="Calibri" w:hAnsi="Calibri"/>
          <w:i/>
          <w:iCs/>
          <w:sz w:val="24"/>
          <w:szCs w:val="24"/>
        </w:rPr>
        <w:t xml:space="preserve">“Ganhei seguidor hoje, minha autoestima tá boa. Perdi seguidor hoje, minha autoestima tá péssima.”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Aqueles números eram fonte de trabalho e renda — tinham uma função concreta. Mas, no relato, as métricas não apareciam apenas como indicadores de alcance: podiam ser vividas como sinais de aceitação, rejeição e valor pessoal.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Fecho o parêntese e volto aos quatro participantes.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Para alguns deles, o uso aparecia ligado a funções muito concretas da rotina: ajudar a pegar no sono, ajudar a despertar e até ajudar a usar o banheiro.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Nas palavras bastante coloquiais do próprio participante:</w:t>
      </w:r>
    </w:p>
    <w:p>
      <w:pPr>
        <w:keepNext/>
        <w:spacing w:after="140"/>
        <w:ind w:left="480"/>
      </w:pPr>
      <w:r>
        <w:rPr>
          <w:rFonts w:ascii="Calibri" w:cs="Calibri" w:eastAsia="Calibri" w:hAnsi="Calibri"/>
          <w:i/>
          <w:iCs/>
          <w:sz w:val="24"/>
          <w:szCs w:val="24"/>
        </w:rPr>
        <w:t xml:space="preserve">“[...] se eu não estiver com o celular, meu corpo dissociou de ir no banheiro assim. Ele fica meio burro assim, tipo: ‘cadê o celular pra eu ir?’”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Ele não está usando um conceito técnico. Está descrevendo como o celular tinha se acoplado a uma situação muito concreta do cotidiano — a ponto de ele sentir que precisava daquele recurso para conseguir funcionar ali.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Em outros relatos, o uso aparecia ligado ao medo de rejeição.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Uma participante contou que o WhatsApp parou de funcionar e que ela tentou resolver com muita urgência — uma urgência mobilizada pelo medo de que interpretassem o silêncio como desprezo.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Ela dizia:</w:t>
      </w:r>
    </w:p>
    <w:p>
      <w:pPr>
        <w:keepNext/>
        <w:spacing w:after="140"/>
        <w:ind w:left="480"/>
      </w:pPr>
      <w:r>
        <w:rPr>
          <w:rFonts w:ascii="Calibri" w:cs="Calibri" w:eastAsia="Calibri" w:hAnsi="Calibri"/>
          <w:i/>
          <w:iCs/>
          <w:sz w:val="24"/>
          <w:szCs w:val="24"/>
        </w:rPr>
        <w:t xml:space="preserve">“As pessoas vão achar que tô ignorando elas.”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Aqui, abrir o aplicativo não parecia movido por prazer ou entretenimento. Parecia funcionar como uma tentativa de reduzir ansiedade e medo de rejeição.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Mas o próprio uso também produzia consequências aversivas. Nos quatro relatos apareceram atrasos e perda da noção do tempo. Também surgiram interferências no trabalho, nos estudos e em atividades ou relações valorizadas.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E é diante disso que chegamos ao terceiro eixo: as respostas de autocontrole.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Todos os quatro relataram tentativas de fazer acordos consigo mesmos; três desativavam notificações; e um descreveu o ciclo de desinstalar e reinstalar os aplicativos.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E aqui apareceu um achado que eu considero um dos mais interessantes.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Para um dos participantes, desativar as notificações não reduziu as verificações. Pelo contrário: sem a notificação, ele não sabia o que estava acontecendo — e isso aumentava a necessidade de entrar no aplicativo para conferir.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Ou seja: uma mesma estratégia de autocontrole pode produzir efeitos diferentes conforme a pessoa, a função daquele uso e o contexto.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E a fala mais forte desse eixo foi esta:</w:t>
      </w:r>
    </w:p>
    <w:p>
      <w:pPr>
        <w:keepNext/>
        <w:spacing w:after="140"/>
        <w:ind w:left="480"/>
      </w:pPr>
      <w:r>
        <w:rPr>
          <w:rFonts w:ascii="Calibri" w:cs="Calibri" w:eastAsia="Calibri" w:hAnsi="Calibri"/>
          <w:i/>
          <w:iCs/>
          <w:sz w:val="24"/>
          <w:szCs w:val="24"/>
        </w:rPr>
        <w:t xml:space="preserve">“Eu tava indo trabalhar assim puto porque eu tava atrasado. Eu falei: mano, eu vou excluir essa porra. Aí eu chegava no trabalho, eventualmente tinha uma brecha, aí eu falava: não, vou instalar de novo. É foda, é foda.”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Reconhecimento do prejuízo. Desejo de mudar. Tentativa concreta de controle. E retorno ao comportamento.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E o que ajuda a interpretar essa persistência?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Um processo que me ajudou a compreender esses relatos foi o reforçamento intermitente.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Uma postagem pode receber muita resposta. A próxima, quase nenhuma. Depois, outra pode alcançar um retorno muito maior. A pessoa não sabe quando virá o próximo retorno mais intenso — e a mesma lógica aparece no feed: você nunca sabe como será o próximo conteúdo.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É nesse aspecto específico — a imprevisibilidade do retorno, e não uma equivalência clínica ou diagnóstica — que existe uma aproximação com a lógica de uma máquina caça-níquel.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E comportamentos mantidos por consequências imprevisíveis podem se tornar bastante persistentes. Ainda mais quando o acesso está sempre a um toque de distância.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Por fim, chamou atenção que, sem que eu perguntasse, os participantes utilizaram espontaneamente palavras como “vício” e “dependência”.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Essa era a linguagem que eles usavam para descrever a própria experiência — não uma conclusão diagnóstica da pesquisa.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Uma das participantes resumiu essa experiência assim. É a fala que eu escolhi como epígrafe do trabalho:</w:t>
      </w:r>
    </w:p>
    <w:p>
      <w:pPr>
        <w:keepNext/>
        <w:spacing w:after="140"/>
        <w:ind w:left="480"/>
      </w:pPr>
      <w:r>
        <w:rPr>
          <w:rFonts w:ascii="Calibri" w:cs="Calibri" w:eastAsia="Calibri" w:hAnsi="Calibri"/>
          <w:i/>
          <w:iCs/>
          <w:sz w:val="24"/>
          <w:szCs w:val="24"/>
        </w:rPr>
        <w:t xml:space="preserve">“Eu acho que é muito esse excesso de informações, excesso de conteúdo, sabe? Que te faz querer mais e mais e mais e mais, né? É um vício, é algo que em excesso faz mal, a gente sabe, mas muitas vezes a gente prefere ignorar porque não tá matando, pelo menos não por enquanto.”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 mais longa]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A busca contínua por mais. A percepção do prejuízo. E a permanência do comportamento apesar dessa percepção.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[desacelerar]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Naquele grupo, o uso não era descrito apenas como frequente. Ele aparecia relacionado a antecedentes específicos, consequências reforçadoras, prejuízos, tentativas de regulação e dificuldade de sustentar o autocontrole.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[ênfase]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O tempo de tela mostra QUANTO a pessoa usa. Os antecedentes e as consequências ajudam a compreender POR QUE aquele uso se repete naquela história.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Então, a pesquisa não respondeu se essas pessoas tinham um transtorno.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Ela ajudou a formular outra pergunta: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Quando existe sofrimento ou prejuízo associado a um comportamento que não corresponde a uma categoria diagnóstica específica, o que a clínica faz com essa informação?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É essa pergunta que nos leva ao último bloco.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2026-07-26T01:19:02.887Z</dcterms:created>
  <dcterms:modified xsi:type="dcterms:W3CDTF">2026-07-26T01:19:02.910Z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