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4 — CONCLUSÃO: O QUE PRECISA ENTRAR NO CUIDADO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Para concluir, eu quero voltar ao rapaz de 19 anos do início da palestra.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Ele percebia os prejuízos, já não gostava do que via — e, segundos depois de fechar o aplicativo, estava ali de novo.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ele dizia:</w:t>
      </w:r>
    </w:p>
    <w:p>
      <w:pPr>
        <w:keepNext/>
        <w:spacing w:after="14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sei que estou perdendo alguma coisa da minha vida... mas saber não muda nada.”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Ao redor dele, aquilo era entendido como falta de disciplina, preguiça ou irresponsabilidade.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Mas essas palavras julgavam o comportamento; não explicavam o caso.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Hoje, o uso problemático de redes sociais ainda não possui uma categoria diagnóstica específica própria no DSM-5-TR nem na CID-11.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Isso exige cuidado em duas direções: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nem todo uso intenso constitui um transtorno;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mas a ausência de um diagnóstico específico também não torna menos reais o sofrimento e os prejuízos.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Por isso, diante de um comportamento repetitivo, difícil de interromper e associado a prejuízos — envolva ou não uma substância — eu gostaria que vocês levassem quatro perguntas.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A primeira: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O que costuma acontecer antes?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Um dia estressante, uma rejeição, a chegada em casa — ou simplesmente o celular já estar na mão.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A segunda: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O que esse comportamento oferece ou ajuda a afastar?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Ele pode acrescentar prazer, distração, informação ou pertencimento. E pode aliviar temporariamente ansiedade, tensão, solidão ou vazio.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Quando uma resposta oferece algo desejável ou afasta temporariamente algo aversivo, a probabilidade de ela ser repetida aumenta. Com o tempo, essa resposta pode se tornar uma saída cada vez mais rápida e disponível.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É aqui que a história de Rafael torna essa ideia concreta.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Rafael tinha um padrão problemático de consumo de álcool. Conhecia os prejuízos, queria reduzir, mas continuava bebendo.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Durante o acompanhamento, começou a observar o que acontecia antes de cada episódio. Até que disse:</w:t>
      </w:r>
    </w:p>
    <w:p>
      <w:pPr>
        <w:keepNext/>
        <w:spacing w:after="14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“Percebi que, quando chego em casa depois de um dia difícil e ninguém me pergunta como foi meu dia, eu bebo.”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As pessoas estavam em casa, mas frequentemente concentradas nos próprios celulares.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Fisicamente presentes, relacionalmente indisponíveis naquele momento.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Essa cena não explicava sozinha o consumo de álcool — nem transformava a família ou as telas em uma causa única.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Mas revelou uma variável que ainda não estava suficientemente visível: a experiência de solidão dentro do lugar em que ele esperava encontrar vínculo.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O álcool não era apenas o problema apresentado. Naquela situação, também havia se tornado uma resposta rápida para aquilo que ele não estava conseguindo nomear, comunicar ou atravessar de outra maneira.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Com isso, chegamos à terceira pergunta: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Quais prejuízos esse comportamento está produzindo?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O que está acontecendo com o sono, o trabalho, os estudos, os vínculos, a saúde e a segurança? Existe intoxicação, abstinência ou risco imediato?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Compreender a função nunca significa minimizar os prejuízos.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O risco define a prioridade, mas não esgota a formulação.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a quarta pergunta é: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Se esse comportamento for reduzido ou interrompido, o que ficará sem resposta?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Se o álcool aliviava a solidão de Rafael, como ele atravessará a chegada em casa sem recorrer a ele?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Como ele poderá reconhecer o que sente, comunicar que precisa de presença e buscar apoio?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Se a rede social regulava ansiedade ou oferecia pertencimento, o que poderá ocupar concretamente esse lugar?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 é aqui que o tratamento precisa ir além de dizer “pare”.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Quando indicada, a medicação pode ser fundamental para reduzir sintomas, manejar riscos e criar condições para o cuidado.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Mas também precisamos ampliar o repertório: regulação emocional, tolerância ao desconforto, prevenção de recaída, formas de pedir ajuda, vínculos e atividades que voltem a produzir prazer e sentido.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Porque dizer “ligue para um amigo quando estiver mal” não faz com que essa resposta tenha, de imediato, a mesma força de um comportamento reforçado durante anos.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Novas respostas precisam ser praticadas e fortalecidas para estarem disponíveis justamente quando a pessoa mais precisa delas.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Talvez seja esse um dos principais aprendizados desta palestra: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diagnóstico, medicação, redução de danos e manejo de risco podem ser fundamentais.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Mas nenhuma dessas ferramentas, isoladamente, conta toda a história de uma pessoa.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Às vezes, o psiquiatra encontrará uma parte do caso, o psicólogo encontrará outra, e o diálogo responsável entre eles tornará visível aquilo que, separadamente, poderia permanecer fora do cuidado.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Se vocês saírem daqui com uma ideia, eu gostaria que fosse esta: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diante de um comportamento repetitivo, difícil de interromper e associado a prejuízos, não observem apenas quanto a pessoa usa ou como fazê-la parar.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Procurem compreender o que acontece antes, o que esse comportamento oferece ou ajuda a afastar, quais prejuízos produz e o que precisará ser construído para que outra resposta se torne possível.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 mais longa]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Porque o comportamento que vemos não conta sozinho a história inteira.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Por trás dele, pode haver uma história de reforçamento, experiências de sofrimento, necessidades não atendidas e recursos que ainda não foram construídos.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[desacelerar]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Porque o cuidado não termina quando o comportamento para.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Ele se sustenta quando a vida se torna mais ampla, mais valiosa e volta a oferecer outras respostas.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 de três segundos — sustentar o olhar para a plateia]</w:t>
      </w:r>
    </w:p>
    <w:p>
      <w:pPr>
        <w:spacing w:after="140"/>
      </w:pPr>
      <w:r>
        <w:rPr>
          <w:rFonts w:ascii="Calibri" w:cs="Calibri" w:eastAsia="Calibri" w:hAnsi="Calibri"/>
          <w:sz w:val="24"/>
          <w:szCs w:val="24"/>
        </w:rPr>
        <w:t xml:space="preserve">Obrigada.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2026-07-26T01:19:02.966Z</dcterms:created>
  <dcterms:modified xsi:type="dcterms:W3CDTF">2026-07-26T01:19:02.966Z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