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BLOCO 3 — ACHADOS DA PESQUISA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Enquanto eu desenvolvia essa pesquisa, eu também fazia estágio no PROAD — o Programa de Orientação e Atendimento a Dependentes da Unifesp, no CAISM — e atendia pessoas com transtorno por uso de substâncias.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um paciente me disse, logo na primeira sessão: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{OLHAR | DESACELERAR}</w:t>
      </w:r>
    </w:p>
    <w:p>
      <w:pPr>
        <w:keepLines/>
        <w:spacing w:after="160" w:before="80"/>
        <w:ind w:left="480"/>
      </w:pPr>
      <w:r>
        <w:rPr>
          <w:rFonts w:ascii="Calibri" w:cs="Calibri" w:eastAsia="Calibri" w:hAnsi="Calibri"/>
          <w:i/>
          <w:iCs/>
          <w:color w:val="1F3864"/>
          <w:sz w:val="24"/>
          <w:szCs w:val="24"/>
        </w:rPr>
        <w:t xml:space="preserve">“Instagram é igual droga pra mim.”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Eu nunca esqueci essa frase.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Ela não demonstrava equivalência entre os dois fenômenos.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chamava atenção para experiências que eu escutava nos dois contextos: perda de controle, dificuldade de interromper e continuidade apesar dos prejuízos.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a questão não parecia ser apenas o tempo de tela. Parecia envolver a qualidade da relação que a pessoa construía com aquele comportamento: o que ele produzia, o que ajudava a aliviar ou evitar, e por que era tão difícil interrompê-lo.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Foi desse incômodo que surgiu a minha pesquisa.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| RITMO +}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Eu realizei entrevistas semiestruturadas com quatro pessoas, entre 25 e 30 anos, que descreviam o próprio uso como excessivo, difícil de controlar e associado a algum prejuízo.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 pesquisa foi qualitativa e exploratória, desenvolvida a partir da análise do comportamento.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é importante delimitar o que isso significa. Eu trabalhei com os relatos que os participantes produziram sobre o próprio uso — não com observação direta. Por isso, os resultados não permitem estabelecer prevalência, causalidade ou diagnóstico, e não podem ser generalizados.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“Uso excessivo”, aqui, também não foi definido por critério diagnóstico nem por número de horas: baseou-se na autopercepção dos participantes e nos prejuízos que eles relatavam.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 pesquisa permitiu identificar padrões gerais — mas não construir uma formulação específica para cada plataforma ou para cada participante.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{TOM CONVERSACIONAL | GESTOS DISCRETOS MARCANDO OS TRÊS EIXOS}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Feita essa delimitação, eu organizei os achados em três eixos: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antecedentes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consequências</w:t>
      </w:r>
      <w:r>
        <w:rPr>
          <w:rFonts w:ascii="Calibri" w:cs="Calibri" w:eastAsia="Calibri" w:hAnsi="Calibri"/>
          <w:sz w:val="24"/>
          <w:szCs w:val="24"/>
        </w:rPr>
        <w:t xml:space="preserve"> 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respostas de autocontrole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Vamos começar pelos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antecedentes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{ÊNFASE SÓ NOS NÚMEROS; DEPOIS VOLTAR AO TOM CONVERSACIONAL}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Nos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quatro</w:t>
      </w:r>
      <w:r>
        <w:rPr>
          <w:rFonts w:ascii="Calibri" w:cs="Calibri" w:eastAsia="Calibri" w:hAnsi="Calibri"/>
          <w:sz w:val="24"/>
          <w:szCs w:val="24"/>
        </w:rPr>
        <w:t xml:space="preserve"> relatos, o uso apareceu antes de dormir e nos intervalos. Também apareceram nos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quatro</w:t>
      </w:r>
      <w:r>
        <w:rPr>
          <w:rFonts w:ascii="Calibri" w:cs="Calibri" w:eastAsia="Calibri" w:hAnsi="Calibri"/>
          <w:sz w:val="24"/>
          <w:szCs w:val="24"/>
        </w:rPr>
        <w:t xml:space="preserve"> relatos as demandas sociais e a presença de outras pessoas mexendo no celular. Ao acordar, apareceu em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três</w:t>
      </w:r>
      <w:r>
        <w:rPr>
          <w:rFonts w:ascii="Calibri" w:cs="Calibri" w:eastAsia="Calibri" w:hAnsi="Calibri"/>
          <w:sz w:val="24"/>
          <w:szCs w:val="24"/>
        </w:rPr>
        <w:t xml:space="preserve"> relatos; no banheiro, em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dois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apareciam ainda as notificações e o simples fato de estar com o aparelho já aberto na mão.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Uma participante disse:</w:t>
      </w:r>
    </w:p>
    <w:p>
      <w:pPr>
        <w:keepLines/>
        <w:spacing w:after="160" w:before="80"/>
        <w:ind w:left="480"/>
      </w:pPr>
      <w:r>
        <w:rPr>
          <w:rFonts w:ascii="Calibri" w:cs="Calibri" w:eastAsia="Calibri" w:hAnsi="Calibri"/>
          <w:i/>
          <w:iCs/>
          <w:color w:val="1F3864"/>
          <w:sz w:val="24"/>
          <w:szCs w:val="24"/>
        </w:rPr>
        <w:t xml:space="preserve">“Aí abre, e é tipo assim, direto eu já vou no Instagram, direto.”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Reparem que não há aí uma decisão planejada de entrar na rede.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Determinados contextos pareciam aumentar tanto a probabilidade do comportamento que, às vezes, quando a pessoa percebia, já estava usando.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Vamos para o segundo eixo: as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consequências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aqui apareceu uma variedade grande de funções. A rede podia oferecer informação, socialização, visibilidade, inspiração, retorno profissional e sensação de pertencimento. E podia também reduzir ansiedade, inquietação, tédio, medo de exclusão ou o contato com uma tarefa difícil.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Esse é um ponto central dos achados: o mesmo comportamento podia oferecer alguma coisa e, ao mesmo tempo, afastar outra. Às vezes, as duas funções apareciam juntas.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Eu quero abrir um parêntese aqui e trazer uma fala de outra pesquisa que eu realizei, com uma criadora de conteúdo no YouTube.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Ela dizia:</w:t>
      </w:r>
    </w:p>
    <w:p>
      <w:pPr>
        <w:keepLines/>
        <w:spacing w:after="160" w:before="80"/>
        <w:ind w:left="480"/>
      </w:pPr>
      <w:r>
        <w:rPr>
          <w:rFonts w:ascii="Calibri" w:cs="Calibri" w:eastAsia="Calibri" w:hAnsi="Calibri"/>
          <w:i/>
          <w:iCs/>
          <w:color w:val="1F3864"/>
          <w:sz w:val="24"/>
          <w:szCs w:val="24"/>
        </w:rPr>
        <w:t xml:space="preserve">“Ganhei seguidor hoje, minha autoestima tá boa. Perdi seguidor hoje, minha autoestima tá péssima.”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Aqueles números eram fonte de trabalho e renda — tinham uma função concreta. Mas, no relato, as métricas não apareciam apenas como indicadores de alcance: podiam ser vividas como sinais de aceitação, rejeição e valor pessoal.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Fecho o parêntese e volto aos quatro participantes.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Para alguns deles, o uso aparecia ligado a funções muito concretas da rotina: ajudar a pegar no sono, ajudar a despertar e até ajudar a usar o banheiro.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Nas palavras bastante coloquiais do próprio participante:</w:t>
      </w:r>
    </w:p>
    <w:p>
      <w:pPr>
        <w:keepLines/>
        <w:spacing w:after="160" w:before="80"/>
        <w:ind w:left="480"/>
      </w:pPr>
      <w:r>
        <w:rPr>
          <w:rFonts w:ascii="Calibri" w:cs="Calibri" w:eastAsia="Calibri" w:hAnsi="Calibri"/>
          <w:i/>
          <w:iCs/>
          <w:color w:val="1F3864"/>
          <w:sz w:val="24"/>
          <w:szCs w:val="24"/>
        </w:rPr>
        <w:t xml:space="preserve">“[...] se eu não estiver com o celular, meu corpo dissociou de ir no banheiro assim. Ele fica meio burro assim, tipo: ‘cadê o celular pra eu ir?’”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Ele não está usando um conceito técnico. Está descrevendo como o celular tinha se acoplado a uma situação muito concreta do cotidiano — a ponto de ele sentir que precisava daquele recurso para conseguir funcionar ali.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Em outros relatos, o uso aparecia ligado ao medo de rejeição.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Uma participante contou que o WhatsApp parou de funcionar e que ela tentou resolver com muita urgência — uma urgência mobilizada pelo medo de que interpretassem o silêncio como desprezo.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Ela dizia:</w:t>
      </w:r>
    </w:p>
    <w:p>
      <w:pPr>
        <w:keepLines/>
        <w:spacing w:after="160" w:before="80"/>
        <w:ind w:left="480"/>
      </w:pPr>
      <w:r>
        <w:rPr>
          <w:rFonts w:ascii="Calibri" w:cs="Calibri" w:eastAsia="Calibri" w:hAnsi="Calibri"/>
          <w:i/>
          <w:iCs/>
          <w:color w:val="1F3864"/>
          <w:sz w:val="24"/>
          <w:szCs w:val="24"/>
        </w:rPr>
        <w:t xml:space="preserve">“As pessoas vão achar que tô ignorando elas.”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Aqui, abrir o aplicativo não parecia movido por prazer ou entretenimento. Parecia funcionar como uma tentativa de reduzir ansiedade e medo de rejeição.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{ÊNFASE SÓ NOS NÚMEROS}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o próprio uso também produzia consequências aversivas. Nos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quatro</w:t>
      </w:r>
      <w:r>
        <w:rPr>
          <w:rFonts w:ascii="Calibri" w:cs="Calibri" w:eastAsia="Calibri" w:hAnsi="Calibri"/>
          <w:sz w:val="24"/>
          <w:szCs w:val="24"/>
        </w:rPr>
        <w:t xml:space="preserve"> relatos apareceram atrasos e perda da noção do tempo. Também surgiram interferências no trabalho, nos estudos e em atividades ou relações valorizadas.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é diante disso que chegamos ao terceiro eixo: as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respostas de autocontrole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Todos os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quatro</w:t>
      </w:r>
      <w:r>
        <w:rPr>
          <w:rFonts w:ascii="Calibri" w:cs="Calibri" w:eastAsia="Calibri" w:hAnsi="Calibri"/>
          <w:sz w:val="24"/>
          <w:szCs w:val="24"/>
        </w:rPr>
        <w:t xml:space="preserve"> relataram tentativas de fazer acordos consigo mesmos;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três</w:t>
      </w:r>
      <w:r>
        <w:rPr>
          <w:rFonts w:ascii="Calibri" w:cs="Calibri" w:eastAsia="Calibri" w:hAnsi="Calibri"/>
          <w:sz w:val="24"/>
          <w:szCs w:val="24"/>
        </w:rPr>
        <w:t xml:space="preserve"> desativavam notificações; 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um</w:t>
      </w:r>
      <w:r>
        <w:rPr>
          <w:rFonts w:ascii="Calibri" w:cs="Calibri" w:eastAsia="Calibri" w:hAnsi="Calibri"/>
          <w:sz w:val="24"/>
          <w:szCs w:val="24"/>
        </w:rPr>
        <w:t xml:space="preserve"> descreveu o ciclo de desinstalar e reinstalar os aplicativos.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 | TOM DE DESCOBERTA}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aqui apareceu um achado que eu considero um dos mais interessantes.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Para um dos participantes, desativar as notificações não reduziu as verificações. Pelo contrário: sem a notificação, ele não sabia o que estava acontecendo — e isso aumentava a necessidade de entrar no aplicativo para conferir.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Ou seja: uma mesma estratégia de autocontrole pode produzir efeitos diferentes conforme a pessoa, a função daquele uso e o contexto.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a fala mais forte desse eixo foi esta:</w:t>
      </w:r>
    </w:p>
    <w:p>
      <w:pPr>
        <w:keepLines/>
        <w:spacing w:after="160" w:before="80"/>
        <w:ind w:left="480"/>
      </w:pPr>
      <w:r>
        <w:rPr>
          <w:rFonts w:ascii="Calibri" w:cs="Calibri" w:eastAsia="Calibri" w:hAnsi="Calibri"/>
          <w:i/>
          <w:iCs/>
          <w:color w:val="1F3864"/>
          <w:sz w:val="24"/>
          <w:szCs w:val="24"/>
        </w:rPr>
        <w:t xml:space="preserve">“Eu tava indo trabalhar assim puto porque eu tava atrasado. Eu falei: mano, eu vou excluir essa porra. Aí eu chegava no trabalho, eventualmente tinha uma brecha, aí eu falava: não, vou instalar de novo. É foda, é foda.”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{RITMO +}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Reconhecimento do prejuízo. Desejo de mudar. Tentativa concreta de controle. E retorno ao comportamento.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 | VOZ DESCENDENTE}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Querer interromper não significava, necessariamente, conseguir sustentar a interrupção.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o que ajuda a interpretar essa persistência?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 processo que me ajudou a compreender esses relatos foi o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reforçamento intermitente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Uma postagem pode receber muita resposta. A próxima, quase nenhuma. Depois, outra pode alcançar um retorno muito maior. A pessoa não sabe quando virá o próximo retorno mais intenso — e a mesma lógica aparece no feed: você nunca sabe como será o próximo conteúdo.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É nesse aspecto específico — a imprevisibilidade do retorno, e não uma equivalência clínica ou diagnóstica — que existe uma aproximação com a lógica de uma máquina caça-níquel.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comportamentos mantidos por consequências imprevisíveis podem se tornar bastante persistentes. Ainda mais quando o acesso está sempre a um toque de distância.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Por fim, chamou atenção que os participantes utilizaram espontaneamente palavras como “vício” e “dependência”.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Essa era a linguagem que eles usavam para descrever a própria experiência — não uma conclusão diagnóstica da pesquisa.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{PARAR | OLHAR | DESACELERAR}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Uma das participantes resumiu essa experiência assim. É a fala que eu escolhi como epígrafe do trabalho:</w:t>
      </w:r>
    </w:p>
    <w:p>
      <w:pPr>
        <w:keepLines/>
        <w:spacing w:after="160" w:before="80"/>
        <w:ind w:left="480"/>
      </w:pPr>
      <w:r>
        <w:rPr>
          <w:rFonts w:ascii="Calibri" w:cs="Calibri" w:eastAsia="Calibri" w:hAnsi="Calibri"/>
          <w:i/>
          <w:iCs/>
          <w:color w:val="1F3864"/>
          <w:sz w:val="24"/>
          <w:szCs w:val="24"/>
        </w:rPr>
        <w:t xml:space="preserve">“Eu acho que é muito esse excesso de informações, excesso de conteúdo, sabe? Que te faz querer mais e mais e mais e mais, né? É um vício, é algo que em excesso faz mal, a gente sabe, mas muitas vezes a gente prefere ignorar porque não tá matando, pelo menos não por enquanto.”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{SILÊNCIO 2s}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 busca contínua por mais. A percepção do prejuízo. E a permanência do comportamento apesar dessa percepção.</w:t>
      </w:r>
    </w:p>
    <w:p>
      <w:r>
        <w:br w:type="page"/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Naquele grupo, o uso não era descrito apenas como frequente. Ele aparecia relacionado a antecedentes específicos, consequências reforçadoras, prejuízos, tentativas de regulação e dificuldade de sustentar o autocontrole.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tempo de tela mostra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QUANTO</w:t>
      </w:r>
      <w:r>
        <w:rPr>
          <w:rFonts w:ascii="Calibri" w:cs="Calibri" w:eastAsia="Calibri" w:hAnsi="Calibri"/>
          <w:sz w:val="24"/>
          <w:szCs w:val="24"/>
        </w:rPr>
        <w:t xml:space="preserve"> a pessoa usa. Os antecedentes e as consequências ajudam a compreender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POR QUE</w:t>
      </w:r>
      <w:r>
        <w:rPr>
          <w:rFonts w:ascii="Calibri" w:cs="Calibri" w:eastAsia="Calibri" w:hAnsi="Calibri"/>
          <w:sz w:val="24"/>
          <w:szCs w:val="24"/>
        </w:rPr>
        <w:t xml:space="preserve"> aquele uso se repete naquela história.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 | OLHAR}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Então, a pesquisa não respondeu se essas pessoas tinham um transtorno.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Ela ajudou a formular outra pergunta: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Quando existe sofrimento ou prejuízo associado a um comportamento que não corresponde a uma categoria diagnóstica específica, o que a clínica faz com essa informação?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{VOZ DESCENDENTE | SILÊNCIO 2s}</w:t>
      </w:r>
    </w:p>
    <w:sectPr>
      <w:headerReference w:type="default" r:id="rId7"/>
      <w:headerReference w:type="firs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Bloco 3 — Achados da pesquisa | 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Bloco 3 — Achados da pesquisa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2026-07-26T02:08:04.878Z</dcterms:created>
  <dcterms:modified xsi:type="dcterms:W3CDTF">2026-07-26T02:08:04.878Z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