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sidRPr="00120DFC">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sidRPr="00110977">
        <w:rPr>
          <w:b/>
          <w:bCs/>
        </w:rPr>
        <w:t>Author</w:t>
      </w:r>
      <w:r>
        <w:t xml:space="preserve">: </w:t>
      </w:r>
      <w:r w:rsidR="00120DFC">
        <w:t>Alexander Lachlan Martin</w:t>
      </w:r>
    </w:p>
    <w:p w14:paraId="429050EB" w14:textId="3967A58A" w:rsidR="00110977" w:rsidRDefault="00110977" w:rsidP="009D056D">
      <w:pPr>
        <w:pStyle w:val="NoSpacing"/>
      </w:pPr>
      <w:r w:rsidRPr="00110977">
        <w:rPr>
          <w:b/>
          <w:bCs/>
        </w:rPr>
        <w:t>Supervisors</w:t>
      </w:r>
      <w:r>
        <w:t xml:space="preserve">: </w:t>
      </w:r>
      <w:r w:rsidR="00120DFC">
        <w:t>Haresh Suppiah</w:t>
      </w:r>
    </w:p>
    <w:p w14:paraId="357D2974" w14:textId="369EA32F" w:rsidR="00110977" w:rsidRDefault="00120DFC" w:rsidP="009D056D">
      <w:pPr>
        <w:pStyle w:val="NoSpacing"/>
        <w:ind w:left="720"/>
      </w:pPr>
      <w:r>
        <w:t>22585136@students.ltu.edu.au</w:t>
      </w:r>
    </w:p>
    <w:p w14:paraId="1DAC1811" w14:textId="2E30CCC3" w:rsidR="00110977" w:rsidRDefault="00120DFC" w:rsidP="009D056D">
      <w:pPr>
        <w:pStyle w:val="NoSpacing"/>
        <w:ind w:left="720"/>
      </w:pPr>
      <w:r>
        <w:t>H.Suppiah@latrobe.edu.au</w:t>
      </w:r>
    </w:p>
    <w:p w14:paraId="728F5151" w14:textId="77777777" w:rsidR="009D056D" w:rsidRDefault="009D056D" w:rsidP="00110977">
      <w:pPr>
        <w:rPr>
          <w:b/>
          <w:bCs/>
        </w:rPr>
      </w:pPr>
    </w:p>
    <w:p w14:paraId="6E23FE3E" w14:textId="27BC016C" w:rsidR="00110977" w:rsidRDefault="00110977" w:rsidP="00110977">
      <w:r w:rsidRPr="009D056D">
        <w:rPr>
          <w:b/>
          <w:bCs/>
        </w:rPr>
        <w:t>Abstract:</w:t>
      </w:r>
      <w:r>
        <w:t xml:space="preserve"> 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 (2) Methods: briefly describe the main methods or treatments applied; (3) Results: summarize the article’s main findings; (4) Conclusions: indicate the main conclusions or interpretations. The abstract should be an objective representation of the article and it must not contain results that are not presented and substantiated in the main text and should not exaggerate the main conclusions.</w:t>
      </w:r>
    </w:p>
    <w:p w14:paraId="75DD87F5" w14:textId="77777777" w:rsidR="00110977" w:rsidRDefault="00110977" w:rsidP="00110977">
      <w:r w:rsidRPr="009D056D">
        <w:rPr>
          <w:b/>
          <w:bCs/>
        </w:rPr>
        <w:t>Keywords:</w:t>
      </w:r>
      <w:r>
        <w:t xml:space="preserve"> keyword 1; keyword 2; keyword 3 (List three to ten pertinent keywords specific to the article yet reasonably common within the subject discipline.)</w:t>
      </w:r>
    </w:p>
    <w:p w14:paraId="4EB5B086" w14:textId="5BC5E528" w:rsidR="00110977" w:rsidRDefault="003F1804" w:rsidP="00110977">
      <w:r>
        <w:pict w14:anchorId="6B1F66BC">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41DB86" w14:textId="77777777" w:rsidR="00110977" w:rsidRDefault="00110977" w:rsidP="009D056D">
      <w:pPr>
        <w:pStyle w:val="Heading1"/>
      </w:pPr>
      <w:r>
        <w:t>0. How to Use This Template</w:t>
      </w:r>
    </w:p>
    <w:p w14:paraId="188F6B2A" w14:textId="77777777" w:rsidR="00110977" w:rsidRDefault="00110977" w:rsidP="00110977">
      <w:r>
        <w:t>The template details the sections that can be used in a manuscript. Note that each section has a corresponding style, which can be found in the “Styles” menu of Word. Section titles given are for articles.</w:t>
      </w:r>
    </w:p>
    <w:p w14:paraId="510EE8AC" w14:textId="77777777" w:rsidR="00110977" w:rsidRDefault="00110977" w:rsidP="00110977">
      <w:r w:rsidRPr="009D056D">
        <w:rPr>
          <w:highlight w:val="yellow"/>
        </w:rPr>
        <w:t>Remove this paragraph and start section numbering with 1.</w:t>
      </w:r>
    </w:p>
    <w:p w14:paraId="4400F416" w14:textId="77777777" w:rsidR="00110977" w:rsidRDefault="00110977" w:rsidP="009D056D">
      <w:pPr>
        <w:pStyle w:val="Heading1"/>
      </w:pPr>
      <w:r>
        <w:t>1. Introduction</w:t>
      </w:r>
    </w:p>
    <w:p w14:paraId="73A0D584" w14:textId="77777777" w:rsidR="00110977" w:rsidRDefault="00110977" w:rsidP="00110977">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As far as possible, please keep the introduction comprehensible to scientists outside your particular field of research. References should be numbered in order of appearance and indicated by a numeral or numerals in square brackets—e.g., [1] or [2,3], or [4–6]. See the end of the document for further details on references.</w:t>
      </w:r>
    </w:p>
    <w:p w14:paraId="7C2C2DDF"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E43410" w14:textId="2704E252" w:rsidR="00110977" w:rsidRDefault="00110977" w:rsidP="001E1E36">
      <w:pPr>
        <w:pStyle w:val="Heading1"/>
      </w:pPr>
      <w:r>
        <w:lastRenderedPageBreak/>
        <w:t>2. Methods</w:t>
      </w:r>
    </w:p>
    <w:p w14:paraId="411975FE" w14:textId="77777777" w:rsidR="00845D0B" w:rsidRDefault="00845D0B" w:rsidP="00845D0B">
      <w:pPr>
        <w:pStyle w:val="Heading3"/>
      </w:pPr>
      <w:bookmarkStart w:id="0" w:name="study-design-and-data-sources"/>
      <w:r>
        <w:t>2.1 Study design and data sources</w:t>
      </w:r>
    </w:p>
    <w:p w14:paraId="08D05862" w14:textId="77777777" w:rsidR="00845D0B" w:rsidRDefault="00845D0B" w:rsidP="00845D0B">
      <w:r>
        <w:t>This study analysed all players who appeared in the National Basketball Association (NBA) regular-season game across the last five seasons, from 2021-22 to 2025-26. The unit of analysis was the player-game interval: one observation per player per scheduled team game, structured in the counting-process format required for Cox modelling with time-varying covariates [14]. The dataset comprised 176,202 at-risk player-game intervals contributed by 1,029 players.</w:t>
      </w:r>
    </w:p>
    <w:p w14:paraId="3BDB698A" w14:textId="77777777" w:rsidR="00845D0B" w:rsidRDefault="00845D0B" w:rsidP="00845D0B">
      <w:r>
        <w:t>All data were drawn from publicly available sources; no proprietary / internal team or medical information was used. Player game logs, rosters and career totals, the league schedule with derived travel distances, and player tracking measures including distance covered were retrieved from the NBA Stats API. Injury information was retrieved from the official NBA pre-game injury reports. Only regular-season fixtures were retained. The study window was set by the availability of the injury reports, which begin in 2021-22. Full endpoint detail is given in Appendix A.1.</w:t>
      </w:r>
    </w:p>
    <w:p w14:paraId="4552FA22" w14:textId="77777777" w:rsidR="00D7523E" w:rsidRDefault="00D7523E" w:rsidP="00D7523E">
      <w:pPr>
        <w:pStyle w:val="Heading3"/>
      </w:pPr>
      <w:bookmarkStart w:id="1" w:name="outcome-definition"/>
      <w:bookmarkEnd w:id="0"/>
      <w:r>
        <w:t>2.2 Outcome definition</w:t>
      </w:r>
    </w:p>
    <w:p w14:paraId="1B52B595" w14:textId="77777777" w:rsidR="00D7523E" w:rsidRDefault="00D7523E" w:rsidP="00D7523E">
      <w:r>
        <w:t xml:space="preserve">Teams file an official injury report at 30-minute intervals before each game, recording each player’s playing status and a free-text reason string. The final pre-game filing was taken as the last </w:t>
      </w:r>
      <w:r w:rsidRPr="009F24AE">
        <w:rPr>
          <w:i/>
          <w:iCs/>
        </w:rPr>
        <w:t>true</w:t>
      </w:r>
      <w:r>
        <w:t xml:space="preserve"> known reason. The reason field is unstructured, containing more than 2,500 distinct strings across the study window; these were mapped by a classification dictionary to 24 categories, and then to injury and non-injury families (Appendix A.2). Load management, illness, G League assignment and administrative absences were excluded, since treating a rested player as an injury case would increase the conflation of exposure with outcome.</w:t>
      </w:r>
    </w:p>
    <w:p w14:paraId="4F0CD6B1" w14:textId="77777777" w:rsidR="00D7523E" w:rsidRDefault="00D7523E" w:rsidP="00D7523E">
      <w:r>
        <w:t>Consecutive missed games attributable to one problem were collapsed into an injury episode. An episode was classified as new rather than a reaggravation if more than 90 days had elapsed since the player last returned from an absence affecting the same anatomical region, or if the region differed from the most recent prior episode. Appendix A.3 details two refinements this required.</w:t>
      </w:r>
    </w:p>
    <w:p w14:paraId="3A951BAB" w14:textId="6D4E7379" w:rsidR="00D7523E" w:rsidRDefault="00D7523E" w:rsidP="00D7523E">
      <w:r>
        <w:t xml:space="preserve">The primary outcome was time to a new injury episode, defined as its first missed game. A recurrent outcome counted any episode onset, including reaggravation. Three mechanism-specific outcomes grouped / categorised new injuries by the plausibility of a workload pathway </w:t>
      </w:r>
      <w:r w:rsidRPr="00FD7D98">
        <w:rPr>
          <w:highlight w:val="red"/>
        </w:rPr>
        <w:t xml:space="preserve">(Section </w:t>
      </w:r>
      <w:r w:rsidR="00FD7D98" w:rsidRPr="00FD7D98">
        <w:rPr>
          <w:highlight w:val="red"/>
        </w:rPr>
        <w:t>XX</w:t>
      </w:r>
      <w:r w:rsidRPr="00FD7D98">
        <w:rPr>
          <w:highlight w:val="red"/>
        </w:rPr>
        <w:t>).</w:t>
      </w:r>
    </w:p>
    <w:p w14:paraId="05534106" w14:textId="53D11285" w:rsidR="00D7523E" w:rsidRDefault="00D7523E" w:rsidP="00D7523E">
      <w:r>
        <w:t>One limitation</w:t>
      </w:r>
      <w:r>
        <w:t xml:space="preserve"> that</w:t>
      </w:r>
      <w:r>
        <w:t xml:space="preserve"> conditions everything that follows and is stated here. The injury report is a team availability signal, not a clinical record. What is observed is that a player was listed as Out with a stated reason, not a clinician’s diagnosis, and neither severity grade nor onset mechanism is recorded.</w:t>
      </w:r>
    </w:p>
    <w:bookmarkEnd w:id="1"/>
    <w:p w14:paraId="2D01D5E5" w14:textId="77777777" w:rsidR="007C5A5B" w:rsidRDefault="007C5A5B" w:rsidP="007C5A5B">
      <w:pPr>
        <w:pStyle w:val="Heading3"/>
      </w:pPr>
      <w:r>
        <w:t>2.3 Counting-process construction and the at-risk set</w:t>
      </w:r>
    </w:p>
    <w:p w14:paraId="3A7771BC" w14:textId="77777777" w:rsidR="007C5A5B" w:rsidRDefault="007C5A5B" w:rsidP="007C5A5B">
      <w:r>
        <w:t>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so time measures a season schedule timeline rather than accumulated games misaligned per player in the context of the full season. Players re-entered the risk set each season, so each player-season is a separate survival episode while covariate effects are shared.</w:t>
      </w:r>
    </w:p>
    <w:p w14:paraId="135304FA" w14:textId="77777777" w:rsidR="007C5A5B" w:rsidRDefault="007C5A5B" w:rsidP="007C5A5B">
      <w:r>
        <w:lastRenderedPageBreak/>
        <w:t>Three rules governed what was considered in our dataset. A player who appeared was at risk with covariates observed. A player who did not appear but was not serving an injury absence, for example a rested or healthy-scratch player, remained at risk, with in-game covariates carried forward from the last appearance; excluding them would remove exactly the low-load intervals needed to identify a workload effect. A player already serving an injury absence was removed, since a player who is already unavailable cannot sustain a new injury.</w:t>
      </w:r>
    </w:p>
    <w:p w14:paraId="72F2AFD4" w14:textId="77777777" w:rsidR="007C5A5B" w:rsidRDefault="007C5A5B" w:rsidP="007C5A5B">
      <w:r>
        <w:t>The third rule creates a difficulty. The event of interest is the first missed game of an absence, which is also the first row the rule would delete. Risk-set was therefore defined so that an interval is removed only where the player was absent both at its opening and throughout it.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p>
    <w:p w14:paraId="63503D04" w14:textId="70A1533D" w:rsidR="007C5A5B" w:rsidRDefault="007C5A5B" w:rsidP="007C5A5B">
      <w:r>
        <w:t xml:space="preserve">The choice of time axis is a modelling decision rather than a property of the data, so an alternative was tested in which the clock counts a player’s at-risk intervals and closes the gaps left by injury absences. Results were unchanged </w:t>
      </w:r>
      <w:r w:rsidRPr="00FD7D98">
        <w:rPr>
          <w:highlight w:val="red"/>
        </w:rPr>
        <w:t xml:space="preserve">(Section </w:t>
      </w:r>
      <w:r w:rsidR="00FD7D98">
        <w:rPr>
          <w:highlight w:val="red"/>
        </w:rPr>
        <w:t>XX</w:t>
      </w:r>
      <w:r w:rsidRPr="00FD7D98">
        <w:rPr>
          <w:highlight w:val="red"/>
        </w:rPr>
        <w:t xml:space="preserve"> and Appendix </w:t>
      </w:r>
      <w:r w:rsidR="00FD7D98">
        <w:rPr>
          <w:highlight w:val="red"/>
        </w:rPr>
        <w:t>XX</w:t>
      </w:r>
      <w:r w:rsidRPr="00FD7D98">
        <w:rPr>
          <w:highlight w:val="red"/>
        </w:rPr>
        <w:t>).</w:t>
      </w:r>
    </w:p>
    <w:p w14:paraId="593107E8" w14:textId="77777777" w:rsidR="007C5A5B" w:rsidRDefault="007C5A5B" w:rsidP="007C5A5B">
      <w:r>
        <w:rPr>
          <w:noProof/>
        </w:rPr>
        <w:drawing>
          <wp:inline distT="0" distB="0" distL="0" distR="0" wp14:anchorId="005B91DA" wp14:editId="53F6FCAF">
            <wp:extent cx="5727700" cy="263474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1"/>
                    </a:xfrm>
                    <a:prstGeom prst="rect">
                      <a:avLst/>
                    </a:prstGeom>
                    <a:noFill/>
                    <a:ln w="9525">
                      <a:noFill/>
                      <a:headEnd/>
                      <a:tailEnd/>
                    </a:ln>
                  </pic:spPr>
                </pic:pic>
              </a:graphicData>
            </a:graphic>
          </wp:inline>
        </w:drawing>
      </w:r>
    </w:p>
    <w:p w14:paraId="49092EF7" w14:textId="77777777" w:rsidR="007C5A5B" w:rsidRDefault="007C5A5B" w:rsidP="007C5A5B">
      <w:r>
        <w:rPr>
          <w:b/>
          <w:bCs/>
        </w:rPr>
        <w:t>Figure 1.</w:t>
      </w:r>
      <w:r>
        <w:t xml:space="preserve"> Construction of the counting-process risk set for one player-season (LeBron James, 2025-26), chosen because it contains every case the rules must handle. The upper track classifies each of the 82 scheduled games by player state; the lower band shows whether the resulting interval entered the model; red markers indicate retained injury onsets. Eighty-two scheduled games yield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3"/>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4BE6ED4F" w14:textId="77777777" w:rsidR="005E54EC" w:rsidRDefault="005E54EC" w:rsidP="005E54EC">
      <w:r>
        <w:lastRenderedPageBreak/>
        <w:t>The primary exposure was on-court external load. Distance (movement) tracked in game was preferred to minutes, distance is what the body absorbed, whereas minutes are a coaching decision. The two correlate at approximately 0.99 here, and Section 3.8 reports the minutes specification. Rolling exposures were summed over trailing calendar-day windows rather than a fixed number of games, so that a window represents the same elapsed recovery time regardless of schedule density:</w:t>
      </w:r>
    </w:p>
    <w:p w14:paraId="752ACC62" w14:textId="77777777" w:rsidR="005E54EC" w:rsidRDefault="005E54EC" w:rsidP="005E54EC">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r>
            <m:rPr>
              <m:sty m:val="p"/>
            </m:rPr>
            <w:rPr>
              <w:rFonts w:ascii="Cambria Math" w:hAnsi="Cambria Math"/>
            </w:rPr>
            <m:t>,</m:t>
          </m:r>
        </m:oMath>
      </m:oMathPara>
    </w:p>
    <w:p w14:paraId="05EFBFE5" w14:textId="77777777" w:rsidR="005E54EC" w:rsidRDefault="005E54EC" w:rsidP="005E54EC">
      <w:r>
        <w:t xml:space="preserve">where </w:t>
      </w:r>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rPr>
            </m:ctrlPr>
          </m:dPr>
          <m:e>
            <m:r>
              <w:rPr>
                <w:rFonts w:ascii="Cambria Math" w:hAnsi="Cambria Math"/>
              </w:rPr>
              <m:t>g</m:t>
            </m:r>
          </m:e>
        </m:d>
      </m:oMath>
      <w:r>
        <w:t xml:space="preserve"> is load recorded in game </w:t>
      </w:r>
      <m:oMath>
        <m:r>
          <w:rPr>
            <w:rFonts w:ascii="Cambria Math" w:hAnsi="Cambria Math"/>
          </w:rPr>
          <m:t>g</m:t>
        </m:r>
      </m:oMath>
      <w:r>
        <w:t xml:space="preserve"> and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w</m:t>
            </m:r>
          </m:e>
        </m:d>
      </m:oMath>
      <w:r>
        <w:t xml:space="preserve"> the games player </w:t>
      </w:r>
      <m:oMath>
        <m:r>
          <w:rPr>
            <w:rFonts w:ascii="Cambria Math" w:hAnsi="Cambria Math"/>
          </w:rPr>
          <m:t>i</m:t>
        </m:r>
      </m:oMath>
      <w:r>
        <w:t xml:space="preserve"> appeared in during the </w:t>
      </w:r>
      <m:oMath>
        <m:r>
          <w:rPr>
            <w:rFonts w:ascii="Cambria Math" w:hAnsi="Cambria Math"/>
          </w:rPr>
          <m:t>w</m:t>
        </m:r>
      </m:oMath>
      <w:r>
        <w:t xml:space="preserve"> days to </w:t>
      </w:r>
      <m:oMath>
        <m:r>
          <w:rPr>
            <w:rFonts w:ascii="Cambria Math" w:hAnsi="Cambria Math"/>
          </w:rPr>
          <m:t>t</m:t>
        </m:r>
      </m:oMath>
      <w:r>
        <w:t>. The 28-day chronic window follows convention in the acute-to-chronic literature, keeping results comparable with prior work [7]. The ratio was defined only where at least four appearances fell in the chronic window; without this guard a player returning from an extended absence produces a ratio of exactly 4.0 that reflects absence rather than a load spike.</w:t>
      </w:r>
    </w:p>
    <w:p w14:paraId="59A16412" w14:textId="77777777" w:rsidR="005E54EC" w:rsidRDefault="005E54EC" w:rsidP="005E54EC">
      <w:r>
        <w:rPr>
          <w:b/>
          <w:bCs/>
        </w:rPr>
        <w:t>The lagged treatment of in-game load.</w:t>
      </w:r>
      <w:r>
        <w:t xml:space="preserve"> The current game’s distance cannot be used. It is realised during the interval likely in which the injury occurs and is reverse caused (a player who breaks down mid-game logs a low distance in that game), so the covariate reads protective for a reason unrelated to protection. It is also inconsistently timed, since a healthy player contributes a current value while an absent player contributes a carried-forward one. Two lagged versions were used instead, the value from the most recently played game, and from two played games back. Both are known before the interval opens, so both are prospective, and they isolate different signals. Lag-1 still carries some of the load-management/ injury signal pattern, because the appearance immediately preceding a breakdown is frequently a managed one or where injury effects can initially rise, and is expected to read protective through selection rather than physiology. Lag-2 sits before that compromise and is where a genuine fatigue-spike mechanism should be visible. The cost is coverage: a player’s first two appearances each season cannot be scored, so the fitted models analyse 3,075 of the 3,257 new-injury events.</w:t>
      </w:r>
    </w:p>
    <w:p w14:paraId="1F88E301" w14:textId="444701E9" w:rsidR="005E54EC" w:rsidRDefault="005E54EC" w:rsidP="005E54EC">
      <w:r>
        <w:t xml:space="preserve">Schedule congestion was measured two ways, deliberately. Accumulated dose (rolling back-to-back counts, road-trip game number) records what the player absorbed and cannot be manipulated by a single coaching decision. Point-in-time indicators (back-to-back, on road trip, </w:t>
      </w:r>
      <w:r w:rsidR="00001AFD">
        <w:t>days</w:t>
      </w:r>
      <w:r>
        <w:t xml:space="preserve"> rest) are contaminated by team decisions about whether a player was fit to play. Both were kept so the contrast is visible in the results rather than hidden by dropping them, and the latter are marked throughout as selection affected.</w:t>
      </w:r>
    </w:p>
    <w:p w14:paraId="61795662" w14:textId="77777777" w:rsidR="005E54EC" w:rsidRDefault="005E54EC" w:rsidP="005E54EC">
      <w:r>
        <w:t>Player context comprised league tenure and its square, career games missed, prior episodes within the season, return from absence within 14 days, season progress, post-All-Star phase, pre-season participation, height and weight. Tenure was introduced quadratically for two reasons. Under the NBA Player Participation Policy, teams may obtain pre-approved back-to-back rest for players aged 35 or over, or with approximately 34,000 career regular-season minutes or 1,000 career games, or a serious injury history [15]. Acute load therefore differs by tenure by rule, while accumulated mileage rises with tenure; two forces in opposite directions, which is the shape a quadratic represents. The literature is consistent with non-linearity [Drakos 2010; Morikawa 2022; Martin 2021].</w:t>
      </w:r>
    </w:p>
    <w:p w14:paraId="06F3D036" w14:textId="77777777" w:rsidR="005E54EC" w:rsidRDefault="005E54EC" w:rsidP="005E54EC">
      <w:r>
        <w:lastRenderedPageBreak/>
        <w:t>Thirty candidate covariates were screened for redundancy before fitting using Spearman correlations, with one member retained from each family exceeding 0.8. Appendix A.4 reports the screen.</w:t>
      </w:r>
    </w:p>
    <w:bookmarkEnd w:id="2"/>
    <w:p w14:paraId="2105FB83" w14:textId="6F2D59EA" w:rsidR="001E1E36" w:rsidRDefault="001E1E36" w:rsidP="001E1E36"/>
    <w:p w14:paraId="5DAE370E" w14:textId="77777777" w:rsidR="00110977" w:rsidRDefault="00110977" w:rsidP="009D056D">
      <w:pPr>
        <w:pStyle w:val="Heading1"/>
      </w:pPr>
      <w:r>
        <w:t>3. Results</w:t>
      </w:r>
    </w:p>
    <w:p w14:paraId="7F830DD7" w14:textId="77777777" w:rsidR="00110977" w:rsidRDefault="00110977" w:rsidP="00110977">
      <w:r>
        <w:t>This section may be divided by subheadings. It should provide a concise and precise description of the study results and their interpretation.</w:t>
      </w:r>
    </w:p>
    <w:p w14:paraId="61B6F7AD" w14:textId="77777777" w:rsidR="00110977" w:rsidRDefault="00110977" w:rsidP="009D056D">
      <w:pPr>
        <w:pStyle w:val="Heading2"/>
      </w:pPr>
      <w:r>
        <w:t>3.1. Subsection</w:t>
      </w:r>
    </w:p>
    <w:p w14:paraId="43488A61"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F17F9B" w14:textId="77777777" w:rsidR="00110977" w:rsidRDefault="00110977" w:rsidP="009D056D">
      <w:pPr>
        <w:pStyle w:val="Heading2"/>
      </w:pPr>
      <w:r>
        <w:t>3.2. Another subsection</w:t>
      </w:r>
    </w:p>
    <w:p w14:paraId="5BB94B60" w14:textId="77777777" w:rsidR="00110977" w:rsidRDefault="00110977" w:rsidP="00110977">
      <w:r>
        <w:t>All figures and tables should be cited in the main text as Figure 1, Table 1, etc.</w:t>
      </w:r>
    </w:p>
    <w:p w14:paraId="6E8D9B8E" w14:textId="2362493C" w:rsidR="00110977" w:rsidRDefault="009D056D" w:rsidP="009D056D">
      <w:pPr>
        <w:jc w:val="center"/>
      </w:pPr>
      <w:r w:rsidRPr="00426007">
        <w:rPr>
          <w:b/>
          <w:noProof/>
        </w:rPr>
        <w:drawing>
          <wp:inline distT="0" distB="0" distL="0" distR="0" wp14:anchorId="0CA0584B" wp14:editId="7E67F262">
            <wp:extent cx="4560497" cy="2660707"/>
            <wp:effectExtent l="0" t="0" r="0" b="6350"/>
            <wp:docPr id="1933197100" name="Picture 4">
              <a:extLst xmlns:a="http://schemas.openxmlformats.org/drawingml/2006/main">
                <a:ext uri="{FF2B5EF4-FFF2-40B4-BE49-F238E27FC236}">
                  <a16:creationId xmlns:a16="http://schemas.microsoft.com/office/drawing/2014/main" id="{5C99CB58-AE90-1ADA-1741-342F07495D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5C99CB58-AE90-1ADA-1741-342F07495DE2}"/>
                        </a:ext>
                      </a:extLst>
                    </pic:cNvPr>
                    <pic:cNvPicPr>
                      <a:picLocks noChangeAspect="1"/>
                    </pic:cNvPicPr>
                  </pic:nvPicPr>
                  <pic:blipFill rotWithShape="1">
                    <a:blip r:embed="rId8"/>
                    <a:srcRect l="1920" t="19866" r="3197" b="4596"/>
                    <a:stretch/>
                  </pic:blipFill>
                  <pic:spPr bwMode="auto">
                    <a:xfrm>
                      <a:off x="0" y="0"/>
                      <a:ext cx="4589035" cy="2677356"/>
                    </a:xfrm>
                    <a:prstGeom prst="rect">
                      <a:avLst/>
                    </a:prstGeom>
                    <a:ln>
                      <a:noFill/>
                    </a:ln>
                    <a:extLst>
                      <a:ext uri="{53640926-AAD7-44D8-BBD7-CCE9431645EC}">
                        <a14:shadowObscured xmlns:a14="http://schemas.microsoft.com/office/drawing/2010/main"/>
                      </a:ext>
                    </a:extLst>
                  </pic:spPr>
                </pic:pic>
              </a:graphicData>
            </a:graphic>
          </wp:inline>
        </w:drawing>
      </w:r>
    </w:p>
    <w:p w14:paraId="49959630" w14:textId="77777777" w:rsidR="00110977" w:rsidRDefault="00110977" w:rsidP="009D056D">
      <w:pPr>
        <w:jc w:val="center"/>
      </w:pPr>
      <w:r w:rsidRPr="009D056D">
        <w:rPr>
          <w:b/>
          <w:bCs/>
        </w:rPr>
        <w:t>Figure 1.</w:t>
      </w:r>
      <w:r>
        <w:t xml:space="preserve"> This is a figure. A figure caption should contain enough information that the reader can interpret all aspects of the figure just by reading the caption.</w:t>
      </w:r>
    </w:p>
    <w:p w14:paraId="0AAF962B"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D20A439" w14:textId="77777777" w:rsidR="00110977" w:rsidRDefault="00110977" w:rsidP="009D056D">
      <w:pPr>
        <w:jc w:val="center"/>
      </w:pPr>
      <w:r w:rsidRPr="009D056D">
        <w:rPr>
          <w:b/>
          <w:bCs/>
        </w:rPr>
        <w:t>Table 1</w:t>
      </w:r>
      <w:r>
        <w:t>. This is a table. Tables should be placed in the main text near to the first time they are cited.</w:t>
      </w:r>
    </w:p>
    <w:tbl>
      <w:tblPr>
        <w:tblW w:w="7857" w:type="dxa"/>
        <w:jc w:val="center"/>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D056D" w:rsidRPr="00426007" w14:paraId="41580D26" w14:textId="77777777" w:rsidTr="005030DB">
        <w:trPr>
          <w:jc w:val="center"/>
        </w:trPr>
        <w:tc>
          <w:tcPr>
            <w:tcW w:w="2619" w:type="dxa"/>
            <w:tcBorders>
              <w:bottom w:val="single" w:sz="4" w:space="0" w:color="auto"/>
            </w:tcBorders>
            <w:vAlign w:val="center"/>
          </w:tcPr>
          <w:p w14:paraId="24944290" w14:textId="77777777" w:rsidR="009D056D" w:rsidRPr="00426007" w:rsidRDefault="009D056D" w:rsidP="005030DB">
            <w:pPr>
              <w:pStyle w:val="tabletext"/>
              <w:spacing w:line="240" w:lineRule="auto"/>
              <w:rPr>
                <w:b/>
                <w:snapToGrid/>
                <w:lang w:val="en-AU"/>
              </w:rPr>
            </w:pPr>
            <w:r w:rsidRPr="00426007">
              <w:rPr>
                <w:b/>
                <w:snapToGrid/>
                <w:lang w:val="en-AU"/>
              </w:rPr>
              <w:t>Title 1</w:t>
            </w:r>
          </w:p>
        </w:tc>
        <w:tc>
          <w:tcPr>
            <w:tcW w:w="2619" w:type="dxa"/>
            <w:tcBorders>
              <w:bottom w:val="single" w:sz="4" w:space="0" w:color="auto"/>
            </w:tcBorders>
            <w:vAlign w:val="center"/>
          </w:tcPr>
          <w:p w14:paraId="66CA46CE" w14:textId="77777777" w:rsidR="009D056D" w:rsidRPr="00426007" w:rsidRDefault="009D056D" w:rsidP="005030DB">
            <w:pPr>
              <w:pStyle w:val="tabletext"/>
              <w:spacing w:line="240" w:lineRule="auto"/>
              <w:rPr>
                <w:b/>
                <w:snapToGrid/>
                <w:lang w:val="en-AU"/>
              </w:rPr>
            </w:pPr>
            <w:r w:rsidRPr="00426007">
              <w:rPr>
                <w:b/>
                <w:snapToGrid/>
                <w:lang w:val="en-AU"/>
              </w:rPr>
              <w:t>Title 2</w:t>
            </w:r>
          </w:p>
        </w:tc>
        <w:tc>
          <w:tcPr>
            <w:tcW w:w="2619" w:type="dxa"/>
            <w:tcBorders>
              <w:bottom w:val="single" w:sz="4" w:space="0" w:color="auto"/>
            </w:tcBorders>
            <w:vAlign w:val="center"/>
          </w:tcPr>
          <w:p w14:paraId="790B4B63" w14:textId="77777777" w:rsidR="009D056D" w:rsidRPr="00426007" w:rsidRDefault="009D056D" w:rsidP="005030DB">
            <w:pPr>
              <w:pStyle w:val="tabletext"/>
              <w:spacing w:line="240" w:lineRule="auto"/>
              <w:rPr>
                <w:b/>
                <w:snapToGrid/>
                <w:lang w:val="en-AU"/>
              </w:rPr>
            </w:pPr>
            <w:r w:rsidRPr="00426007">
              <w:rPr>
                <w:b/>
                <w:snapToGrid/>
                <w:lang w:val="en-AU"/>
              </w:rPr>
              <w:t>Title 3</w:t>
            </w:r>
          </w:p>
        </w:tc>
      </w:tr>
      <w:tr w:rsidR="009D056D" w:rsidRPr="00426007" w14:paraId="6767DF52" w14:textId="77777777" w:rsidTr="005030DB">
        <w:trPr>
          <w:jc w:val="center"/>
        </w:trPr>
        <w:tc>
          <w:tcPr>
            <w:tcW w:w="2619" w:type="dxa"/>
            <w:vAlign w:val="center"/>
          </w:tcPr>
          <w:p w14:paraId="69FD5221" w14:textId="77777777" w:rsidR="009D056D" w:rsidRPr="00426007" w:rsidRDefault="009D056D" w:rsidP="005030DB">
            <w:pPr>
              <w:pStyle w:val="tabletext"/>
              <w:spacing w:line="240" w:lineRule="auto"/>
              <w:rPr>
                <w:lang w:val="en-AU"/>
              </w:rPr>
            </w:pPr>
            <w:r w:rsidRPr="00426007">
              <w:rPr>
                <w:lang w:val="en-AU"/>
              </w:rPr>
              <w:lastRenderedPageBreak/>
              <w:t>entry 1</w:t>
            </w:r>
          </w:p>
        </w:tc>
        <w:tc>
          <w:tcPr>
            <w:tcW w:w="2619" w:type="dxa"/>
            <w:vAlign w:val="center"/>
          </w:tcPr>
          <w:p w14:paraId="3644A856" w14:textId="77777777" w:rsidR="009D056D" w:rsidRPr="00426007" w:rsidRDefault="009D056D" w:rsidP="005030DB">
            <w:pPr>
              <w:pStyle w:val="tabletext"/>
              <w:spacing w:line="240" w:lineRule="auto"/>
              <w:rPr>
                <w:lang w:val="en-AU"/>
              </w:rPr>
            </w:pPr>
            <w:r w:rsidRPr="00426007">
              <w:rPr>
                <w:lang w:val="en-AU"/>
              </w:rPr>
              <w:t>data</w:t>
            </w:r>
          </w:p>
        </w:tc>
        <w:tc>
          <w:tcPr>
            <w:tcW w:w="2619" w:type="dxa"/>
            <w:vAlign w:val="center"/>
          </w:tcPr>
          <w:p w14:paraId="02FAB7BF" w14:textId="77777777" w:rsidR="009D056D" w:rsidRPr="00426007" w:rsidRDefault="009D056D" w:rsidP="005030DB">
            <w:pPr>
              <w:pStyle w:val="tabletext"/>
              <w:spacing w:line="240" w:lineRule="auto"/>
              <w:rPr>
                <w:lang w:val="en-AU"/>
              </w:rPr>
            </w:pPr>
            <w:r w:rsidRPr="00426007">
              <w:rPr>
                <w:lang w:val="en-AU"/>
              </w:rPr>
              <w:t>data</w:t>
            </w:r>
          </w:p>
        </w:tc>
      </w:tr>
      <w:tr w:rsidR="009D056D" w:rsidRPr="00426007" w14:paraId="78DC4C88" w14:textId="77777777" w:rsidTr="005030DB">
        <w:trPr>
          <w:jc w:val="center"/>
        </w:trPr>
        <w:tc>
          <w:tcPr>
            <w:tcW w:w="2619" w:type="dxa"/>
            <w:vAlign w:val="center"/>
          </w:tcPr>
          <w:p w14:paraId="16EF2AD4" w14:textId="77777777" w:rsidR="009D056D" w:rsidRPr="00426007" w:rsidRDefault="009D056D" w:rsidP="005030DB">
            <w:pPr>
              <w:pStyle w:val="tabletext"/>
              <w:spacing w:line="240" w:lineRule="auto"/>
              <w:rPr>
                <w:lang w:val="en-AU"/>
              </w:rPr>
            </w:pPr>
            <w:r w:rsidRPr="00426007">
              <w:rPr>
                <w:lang w:val="en-AU"/>
              </w:rPr>
              <w:t>entry 2</w:t>
            </w:r>
          </w:p>
        </w:tc>
        <w:tc>
          <w:tcPr>
            <w:tcW w:w="2619" w:type="dxa"/>
            <w:vAlign w:val="center"/>
          </w:tcPr>
          <w:p w14:paraId="704ACFEB" w14:textId="77777777" w:rsidR="009D056D" w:rsidRPr="00426007" w:rsidRDefault="009D056D" w:rsidP="005030DB">
            <w:pPr>
              <w:pStyle w:val="tabletext"/>
              <w:spacing w:line="240" w:lineRule="auto"/>
              <w:rPr>
                <w:lang w:val="en-AU"/>
              </w:rPr>
            </w:pPr>
            <w:r w:rsidRPr="00426007">
              <w:rPr>
                <w:lang w:val="en-AU"/>
              </w:rPr>
              <w:t>data</w:t>
            </w:r>
          </w:p>
        </w:tc>
        <w:tc>
          <w:tcPr>
            <w:tcW w:w="2619" w:type="dxa"/>
            <w:vAlign w:val="center"/>
          </w:tcPr>
          <w:p w14:paraId="01176076" w14:textId="77777777" w:rsidR="009D056D" w:rsidRPr="00426007" w:rsidRDefault="009D056D" w:rsidP="005030DB">
            <w:pPr>
              <w:pStyle w:val="tabletext"/>
              <w:spacing w:line="240" w:lineRule="auto"/>
              <w:rPr>
                <w:lang w:val="en-AU"/>
              </w:rPr>
            </w:pPr>
            <w:r w:rsidRPr="00426007">
              <w:rPr>
                <w:lang w:val="en-AU"/>
              </w:rPr>
              <w:t xml:space="preserve">data </w:t>
            </w:r>
            <w:r w:rsidRPr="00426007">
              <w:rPr>
                <w:vertAlign w:val="superscript"/>
                <w:lang w:val="en-AU"/>
              </w:rPr>
              <w:t>1</w:t>
            </w:r>
          </w:p>
        </w:tc>
      </w:tr>
    </w:tbl>
    <w:p w14:paraId="628BB464" w14:textId="77777777" w:rsidR="009D056D" w:rsidRDefault="009D056D" w:rsidP="00110977"/>
    <w:p w14:paraId="24A523A5" w14:textId="1734E040" w:rsidR="00110977" w:rsidRDefault="00110977" w:rsidP="00110977">
      <w:r>
        <w:t>The text continues here (Figure 2 and Table 2).</w:t>
      </w:r>
    </w:p>
    <w:p w14:paraId="6E553ABE" w14:textId="77777777" w:rsidR="00110977" w:rsidRDefault="00110977" w:rsidP="009D056D">
      <w:pPr>
        <w:pStyle w:val="Heading1"/>
      </w:pPr>
      <w:r>
        <w:t>4. Discussion</w:t>
      </w:r>
      <w:r>
        <w:tab/>
      </w:r>
    </w:p>
    <w:p w14:paraId="56BB8801" w14:textId="77777777" w:rsidR="00110977" w:rsidRDefault="00110977" w:rsidP="00110977">
      <w:r>
        <w:t>Authors should discuss the results and how they can be interpreted from the perspective of previous studies and of the working hypotheses. The findings and their implications should be discussed in the broadest context possible. Future research directions may also be highlighted.</w:t>
      </w:r>
    </w:p>
    <w:p w14:paraId="735D674D" w14:textId="77777777" w:rsidR="00110977" w:rsidRDefault="00110977" w:rsidP="009D056D">
      <w:pPr>
        <w:pStyle w:val="Heading2"/>
      </w:pPr>
      <w:r>
        <w:t>4.1. Discussion sub-heading 1</w:t>
      </w:r>
    </w:p>
    <w:p w14:paraId="6150E61D" w14:textId="77777777" w:rsidR="00110977" w:rsidRDefault="00110977" w:rsidP="00110977">
      <w:r>
        <w:t>Please use sub-headings in your discussion.</w:t>
      </w:r>
    </w:p>
    <w:p w14:paraId="7798CB29" w14:textId="77777777" w:rsidR="00110977" w:rsidRDefault="00110977" w:rsidP="009D056D">
      <w:pPr>
        <w:pStyle w:val="Heading1"/>
      </w:pPr>
      <w:r>
        <w:t>5. Conclusion</w:t>
      </w:r>
    </w:p>
    <w:p w14:paraId="3BB6E1ED" w14:textId="77777777" w:rsidR="00110977" w:rsidRDefault="00110977" w:rsidP="00110977">
      <w:r>
        <w:t>This section should provide a concise summary of study including the main findings.</w:t>
      </w:r>
    </w:p>
    <w:p w14:paraId="16A66101" w14:textId="77777777" w:rsidR="009D056D" w:rsidRDefault="009D056D" w:rsidP="00110977">
      <w:pPr>
        <w:rPr>
          <w:b/>
          <w:bCs/>
        </w:rPr>
      </w:pPr>
    </w:p>
    <w:p w14:paraId="720608A7" w14:textId="21997190" w:rsidR="00110977" w:rsidRDefault="00110977" w:rsidP="00110977">
      <w:r w:rsidRPr="009D056D">
        <w:rPr>
          <w:b/>
          <w:bCs/>
        </w:rPr>
        <w:t>Acknowledgments:</w:t>
      </w:r>
      <w:r>
        <w:t xml:space="preserve"> Message to whomever you would like to acknowledge; supervisors, peers, family, industry partners, etc.</w:t>
      </w:r>
    </w:p>
    <w:p w14:paraId="6C86DA6A" w14:textId="77777777" w:rsidR="00110977" w:rsidRDefault="00110977" w:rsidP="009D056D">
      <w:pPr>
        <w:pStyle w:val="Heading1"/>
      </w:pPr>
      <w:r>
        <w:t>References</w:t>
      </w:r>
    </w:p>
    <w:p w14:paraId="0C75F625" w14:textId="77777777" w:rsidR="00110977" w:rsidRDefault="00110977" w:rsidP="00110977">
      <w:r>
        <w:t>References must be numbered in order of appearance in the text (including citations in tables and legends) and listed individually at the end of the manuscript. We recommend preparing the references with a bibliography software package, such as EndNote. In the text, reference numbers should be placed in square brackets [ ] and placed before the punctuation; for example [1], [1–3] or [1,3].</w:t>
      </w:r>
    </w:p>
    <w:p w14:paraId="247090A2" w14:textId="77777777" w:rsidR="00110977" w:rsidRPr="009D056D" w:rsidRDefault="00110977" w:rsidP="00110977">
      <w:pPr>
        <w:rPr>
          <w:sz w:val="20"/>
          <w:szCs w:val="20"/>
        </w:rPr>
      </w:pPr>
    </w:p>
    <w:p w14:paraId="0D694A41" w14:textId="0C67EFD0" w:rsidR="00110977" w:rsidRPr="009D056D" w:rsidRDefault="00110977" w:rsidP="009D056D">
      <w:pPr>
        <w:pStyle w:val="ListParagraph"/>
        <w:numPr>
          <w:ilvl w:val="0"/>
          <w:numId w:val="2"/>
        </w:numPr>
        <w:rPr>
          <w:sz w:val="20"/>
          <w:szCs w:val="20"/>
        </w:rPr>
      </w:pPr>
      <w:r w:rsidRPr="009D056D">
        <w:rPr>
          <w:sz w:val="20"/>
          <w:szCs w:val="20"/>
        </w:rPr>
        <w:t>Author 1, A.B.; Author 2, C.D. Title of the article. Abbreviated Journal Name Year, Volume, page range.</w:t>
      </w:r>
    </w:p>
    <w:p w14:paraId="1B526A52" w14:textId="138AFE6A" w:rsidR="00110977" w:rsidRPr="009D056D" w:rsidRDefault="00110977" w:rsidP="009D056D">
      <w:pPr>
        <w:pStyle w:val="ListParagraph"/>
        <w:numPr>
          <w:ilvl w:val="0"/>
          <w:numId w:val="2"/>
        </w:numPr>
        <w:rPr>
          <w:sz w:val="20"/>
          <w:szCs w:val="20"/>
        </w:rPr>
      </w:pPr>
      <w:r w:rsidRPr="009D056D">
        <w:rPr>
          <w:sz w:val="20"/>
          <w:szCs w:val="20"/>
        </w:rPr>
        <w:t>Author 1, A.; Author 2, B. Title of the chapter. In Book Title, 2nd ed.; Editor 1, A., Editor 2, B., Eds.; Publisher: Publisher Location, Country, 2007; Volume 3, pp. 154–196.</w:t>
      </w:r>
    </w:p>
    <w:p w14:paraId="43C582F0" w14:textId="011937C7" w:rsidR="00110977" w:rsidRPr="009D056D" w:rsidRDefault="00110977" w:rsidP="009D056D">
      <w:pPr>
        <w:pStyle w:val="ListParagraph"/>
        <w:numPr>
          <w:ilvl w:val="0"/>
          <w:numId w:val="2"/>
        </w:numPr>
        <w:rPr>
          <w:sz w:val="20"/>
          <w:szCs w:val="20"/>
        </w:rPr>
      </w:pPr>
      <w:r w:rsidRPr="009D056D">
        <w:rPr>
          <w:sz w:val="20"/>
          <w:szCs w:val="20"/>
        </w:rPr>
        <w:t>Author 1, A.; Author 2, B. Book Title, 3rd ed.; Publisher: Publisher Location, Country, 2008; pp. 154–196.</w:t>
      </w:r>
    </w:p>
    <w:p w14:paraId="0B3CFF0B" w14:textId="1B7A5A1F" w:rsidR="00110977" w:rsidRPr="009D056D" w:rsidRDefault="00110977" w:rsidP="009D056D">
      <w:pPr>
        <w:pStyle w:val="ListParagraph"/>
        <w:numPr>
          <w:ilvl w:val="0"/>
          <w:numId w:val="2"/>
        </w:numPr>
        <w:rPr>
          <w:sz w:val="20"/>
          <w:szCs w:val="20"/>
        </w:rPr>
      </w:pPr>
      <w:r w:rsidRPr="009D056D">
        <w:rPr>
          <w:sz w:val="20"/>
          <w:szCs w:val="20"/>
        </w:rPr>
        <w:t>Author 1, A.B.; Author 2, C. Title of Unpublished Work. Abbreviated Journal Name year, phrase indicating stage of publication (submitted; accepted; in press).</w:t>
      </w:r>
    </w:p>
    <w:p w14:paraId="3E10F1E8" w14:textId="53FBA61E" w:rsidR="00110977" w:rsidRPr="009D056D" w:rsidRDefault="00110977" w:rsidP="009D056D">
      <w:pPr>
        <w:pStyle w:val="ListParagraph"/>
        <w:numPr>
          <w:ilvl w:val="0"/>
          <w:numId w:val="2"/>
        </w:numPr>
        <w:rPr>
          <w:sz w:val="20"/>
          <w:szCs w:val="20"/>
        </w:rPr>
      </w:pPr>
      <w:r w:rsidRPr="009D056D">
        <w:rPr>
          <w:sz w:val="20"/>
          <w:szCs w:val="20"/>
        </w:rPr>
        <w:t>Author 1, A.B. (University, City, State, Country); Author 2, C. (Institute, City, State, Country). Personal communication, 2012.</w:t>
      </w:r>
    </w:p>
    <w:p w14:paraId="2B1D31DE" w14:textId="7141EF57" w:rsidR="00110977" w:rsidRPr="009D056D" w:rsidRDefault="00110977" w:rsidP="009D056D">
      <w:pPr>
        <w:pStyle w:val="ListParagraph"/>
        <w:numPr>
          <w:ilvl w:val="0"/>
          <w:numId w:val="2"/>
        </w:numPr>
        <w:rPr>
          <w:sz w:val="20"/>
          <w:szCs w:val="20"/>
        </w:rPr>
      </w:pPr>
      <w:r w:rsidRPr="009D056D">
        <w:rPr>
          <w:sz w:val="20"/>
          <w:szCs w:val="20"/>
        </w:rPr>
        <w:t>Author 1, A.B.; Author 2, C.D.; Author 3, E.F. Title of Presentation. In Proceedings of the Name of the Conference, Location of Conference, Country, Date of Conference (Day Month Year).</w:t>
      </w:r>
    </w:p>
    <w:p w14:paraId="1A0ECA4C" w14:textId="4BAA7490" w:rsidR="00110977" w:rsidRPr="009D056D" w:rsidRDefault="00110977" w:rsidP="009D056D">
      <w:pPr>
        <w:pStyle w:val="ListParagraph"/>
        <w:numPr>
          <w:ilvl w:val="0"/>
          <w:numId w:val="2"/>
        </w:numPr>
        <w:rPr>
          <w:sz w:val="20"/>
          <w:szCs w:val="20"/>
        </w:rPr>
      </w:pPr>
      <w:r w:rsidRPr="009D056D">
        <w:rPr>
          <w:sz w:val="20"/>
          <w:szCs w:val="20"/>
        </w:rPr>
        <w:t>Author 1, A.B. Title of Thesis. Level of Thesis, Degree-Granting University, Location of University, Date of Completion.</w:t>
      </w:r>
    </w:p>
    <w:p w14:paraId="1ED07D75" w14:textId="5F6FA49E" w:rsidR="00110977" w:rsidRPr="009D056D" w:rsidRDefault="00110977" w:rsidP="00110977">
      <w:pPr>
        <w:pStyle w:val="ListParagraph"/>
        <w:numPr>
          <w:ilvl w:val="0"/>
          <w:numId w:val="2"/>
        </w:numPr>
        <w:rPr>
          <w:sz w:val="20"/>
          <w:szCs w:val="20"/>
        </w:rPr>
      </w:pPr>
      <w:r w:rsidRPr="009D056D">
        <w:rPr>
          <w:sz w:val="20"/>
          <w:szCs w:val="20"/>
        </w:rPr>
        <w:t>Title of Site. Available online: URL (accessed on Day Month Year).</w:t>
      </w:r>
    </w:p>
    <w:p w14:paraId="3F69B337" w14:textId="5E6E8E04" w:rsidR="009D056D" w:rsidRDefault="009D056D">
      <w:r>
        <w:br w:type="page"/>
      </w:r>
    </w:p>
    <w:p w14:paraId="550D2A48" w14:textId="4178CB55" w:rsidR="00110977" w:rsidRDefault="00110977" w:rsidP="009D056D">
      <w:pPr>
        <w:pStyle w:val="Heading1"/>
      </w:pPr>
      <w:r>
        <w:lastRenderedPageBreak/>
        <w:t>Appendix A</w:t>
      </w:r>
      <w:r w:rsidR="00FD7D98">
        <w:t>: M</w:t>
      </w:r>
      <w:r w:rsidR="00FD7D98">
        <w:t>ethodological detail</w:t>
      </w:r>
    </w:p>
    <w:p w14:paraId="21092C03" w14:textId="77777777" w:rsidR="00FD7D98" w:rsidRDefault="00FD7D98" w:rsidP="00FD7D98">
      <w:pPr>
        <w:pStyle w:val="Heading3"/>
      </w:pPr>
      <w:bookmarkStart w:id="3" w:name="a.1-data-sources"/>
      <w:r>
        <w:t>A.1 Data sources</w:t>
      </w:r>
    </w:p>
    <w:p w14:paraId="77EA2FE6" w14:textId="77777777" w:rsidR="00FD7D98" w:rsidRDefault="00FD7D98" w:rsidP="00FD7D98">
      <w:r>
        <w:t xml:space="preserve">Four web scraping scripts written in Python retrieved all data from public sources. Player game logs, team rosters and career totals came from the NBA Stats API endpoints PlayerGameLog, CommonTeamRoster and PlayerCareerStats. The league schedule, including arena coordinates, tip-off times and derived air / land travel distances, came from ScheduleLeagueV2 and LeagueGameLog. Player tracking measures, including distance covered, came from BoxScoreTraditionalV3, BoxScoreAdvancedV3 and BoxScoreHustleV2. Injury reports were retrieved through the nbainjuries package, which collects the official NBA pre-game filings; approximately 3,000 individual report files were processed across the five seasons. Only regular-season fixtures were retained, identified by the NBA game-identifier prefix. </w:t>
      </w:r>
    </w:p>
    <w:p w14:paraId="6E3C8F53" w14:textId="77777777" w:rsidR="00FD7D98" w:rsidRDefault="00FD7D98" w:rsidP="00FD7D98">
      <w:pPr>
        <w:pStyle w:val="Heading3"/>
      </w:pPr>
      <w:bookmarkStart w:id="4" w:name="a.2-injury-classification"/>
      <w:bookmarkEnd w:id="3"/>
      <w:r>
        <w:t>A.2 Injury classification</w:t>
      </w:r>
    </w:p>
    <w:p w14:paraId="24535E43" w14:textId="77777777" w:rsidR="00FD7D98" w:rsidRDefault="00FD7D98" w:rsidP="00FD7D98">
      <w:r>
        <w:t>Injury report reason strings are unstructured and inconsistent across teams and seasons, containing more than 2,500 cases. A classification dictionary was built from these strings and maps each to one of 24 categories, which group into three families &amp; three tiers for the negative control in Section 2.6.</w:t>
      </w:r>
    </w:p>
    <w:tbl>
      <w:tblPr>
        <w:tblStyle w:val="TableGrid"/>
        <w:tblW w:w="5000" w:type="pct"/>
        <w:tblLayout w:type="fixed"/>
        <w:tblLook w:val="0020" w:firstRow="1" w:lastRow="0" w:firstColumn="0" w:lastColumn="0" w:noHBand="0" w:noVBand="0"/>
      </w:tblPr>
      <w:tblGrid>
        <w:gridCol w:w="1413"/>
        <w:gridCol w:w="7603"/>
      </w:tblGrid>
      <w:tr w:rsidR="00FD7D98" w14:paraId="676F607A" w14:textId="77777777" w:rsidTr="003E5C5E">
        <w:tc>
          <w:tcPr>
            <w:tcW w:w="1413" w:type="dxa"/>
            <w:shd w:val="clear" w:color="auto" w:fill="D9D9D9" w:themeFill="background1" w:themeFillShade="D9"/>
          </w:tcPr>
          <w:p w14:paraId="2D53F49A" w14:textId="77777777" w:rsidR="00FD7D98" w:rsidRPr="0065695E" w:rsidRDefault="00FD7D98" w:rsidP="003E5C5E">
            <w:pPr>
              <w:jc w:val="left"/>
              <w:rPr>
                <w:b/>
                <w:bCs/>
              </w:rPr>
            </w:pPr>
            <w:r w:rsidRPr="0065695E">
              <w:rPr>
                <w:b/>
                <w:bCs/>
              </w:rPr>
              <w:t>Family</w:t>
            </w:r>
          </w:p>
        </w:tc>
        <w:tc>
          <w:tcPr>
            <w:tcW w:w="7603" w:type="dxa"/>
            <w:shd w:val="clear" w:color="auto" w:fill="D9D9D9" w:themeFill="background1" w:themeFillShade="D9"/>
          </w:tcPr>
          <w:p w14:paraId="08DB7DA2" w14:textId="77777777" w:rsidR="00FD7D98" w:rsidRPr="0065695E" w:rsidRDefault="00FD7D98" w:rsidP="003E5C5E">
            <w:pPr>
              <w:jc w:val="left"/>
              <w:rPr>
                <w:b/>
                <w:bCs/>
              </w:rPr>
            </w:pPr>
            <w:r w:rsidRPr="0065695E">
              <w:rPr>
                <w:b/>
                <w:bCs/>
              </w:rPr>
              <w:t>Categories</w:t>
            </w:r>
          </w:p>
        </w:tc>
      </w:tr>
      <w:tr w:rsidR="00FD7D98" w14:paraId="31DBE489" w14:textId="77777777" w:rsidTr="003E5C5E">
        <w:tc>
          <w:tcPr>
            <w:tcW w:w="1413" w:type="dxa"/>
          </w:tcPr>
          <w:p w14:paraId="36D5241A" w14:textId="77777777" w:rsidR="00FD7D98" w:rsidRDefault="00FD7D98" w:rsidP="003E5C5E">
            <w:pPr>
              <w:jc w:val="left"/>
            </w:pPr>
            <w:r>
              <w:t>Structural</w:t>
            </w:r>
          </w:p>
        </w:tc>
        <w:tc>
          <w:tcPr>
            <w:tcW w:w="7603" w:type="dxa"/>
          </w:tcPr>
          <w:p w14:paraId="29D6D5FC" w14:textId="77777777" w:rsidR="00FD7D98" w:rsidRDefault="00FD7D98" w:rsidP="003E5C5E">
            <w:pPr>
              <w:jc w:val="left"/>
            </w:pPr>
            <w:r>
              <w:t>ACL or PCL, Achilles rupture, meniscus, fracture, dislocation, ligament tear</w:t>
            </w:r>
          </w:p>
        </w:tc>
      </w:tr>
      <w:tr w:rsidR="00FD7D98" w14:paraId="0BF77595" w14:textId="77777777" w:rsidTr="003E5C5E">
        <w:tc>
          <w:tcPr>
            <w:tcW w:w="1413" w:type="dxa"/>
          </w:tcPr>
          <w:p w14:paraId="5BDB3A41" w14:textId="77777777" w:rsidR="00FD7D98" w:rsidRDefault="00FD7D98" w:rsidP="003E5C5E">
            <w:pPr>
              <w:jc w:val="left"/>
            </w:pPr>
            <w:r>
              <w:t>Soft tissue</w:t>
            </w:r>
          </w:p>
        </w:tc>
        <w:tc>
          <w:tcPr>
            <w:tcW w:w="7603" w:type="dxa"/>
          </w:tcPr>
          <w:p w14:paraId="0456AB54" w14:textId="77777777" w:rsidR="00FD7D98" w:rsidRDefault="00FD7D98" w:rsidP="003E5C5E">
            <w:pPr>
              <w:jc w:val="left"/>
            </w:pPr>
            <w:r>
              <w:t>Hamstring, calf and Achilles complex, quadriceps and thigh, groin and adductor, ankle sprain, other ankle, foot, soft-tissue knee, back and spine, shoulder, elbow and wrist, hand and finger, hip, cervical, rib, concussion, eye and face</w:t>
            </w:r>
          </w:p>
        </w:tc>
      </w:tr>
      <w:tr w:rsidR="00FD7D98" w14:paraId="77775A9F" w14:textId="77777777" w:rsidTr="003E5C5E">
        <w:tc>
          <w:tcPr>
            <w:tcW w:w="1413" w:type="dxa"/>
          </w:tcPr>
          <w:p w14:paraId="2F669438" w14:textId="77777777" w:rsidR="00FD7D98" w:rsidRDefault="00FD7D98" w:rsidP="003E5C5E">
            <w:pPr>
              <w:jc w:val="left"/>
            </w:pPr>
            <w:r>
              <w:t>Non-injury</w:t>
            </w:r>
          </w:p>
        </w:tc>
        <w:tc>
          <w:tcPr>
            <w:tcW w:w="7603" w:type="dxa"/>
          </w:tcPr>
          <w:p w14:paraId="0D50FFF0" w14:textId="77777777" w:rsidR="00FD7D98" w:rsidRDefault="00FD7D98" w:rsidP="003E5C5E">
            <w:pPr>
              <w:jc w:val="left"/>
            </w:pPr>
            <w:r>
              <w:t>Load management, illness, G League assignment, roster move, personal, reconditioning, not with team</w:t>
            </w:r>
          </w:p>
        </w:tc>
      </w:tr>
    </w:tbl>
    <w:p w14:paraId="38DC8E0F" w14:textId="77777777" w:rsidR="00FD7D98" w:rsidRDefault="00FD7D98" w:rsidP="00FD7D98">
      <w:r>
        <w:rPr>
          <w:b/>
          <w:bCs/>
        </w:rPr>
        <w:t>Table A1.</w:t>
      </w:r>
      <w:r>
        <w:t xml:space="preserve"> Injury categories by descriptive family. Non-injury categories were excluded from all outcome definitions.</w:t>
      </w:r>
    </w:p>
    <w:p w14:paraId="00429884" w14:textId="77777777" w:rsidR="00FD7D98" w:rsidRDefault="00FD7D98" w:rsidP="00FD7D98">
      <w:r>
        <w:t>The mechanism tiers cut across these families and are ordered by how plausibly accumulated load could cause the injury.</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sidRPr="0065695E">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sidRPr="0065695E">
              <w:rPr>
                <w:b/>
                <w:bCs/>
              </w:rPr>
              <w:t>Categories</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sidRPr="0065695E">
              <w:rPr>
                <w:b/>
                <w:bCs/>
              </w:rPr>
              <w:t>Role</w:t>
            </w:r>
          </w:p>
        </w:tc>
      </w:tr>
      <w:tr w:rsidR="00FD7D98" w14:paraId="6C69F094" w14:textId="77777777" w:rsidTr="003E5C5E">
        <w:tc>
          <w:tcPr>
            <w:tcW w:w="1413" w:type="dxa"/>
          </w:tcPr>
          <w:p w14:paraId="21ECF16F" w14:textId="77777777" w:rsidR="00FD7D98" w:rsidRDefault="00FD7D98" w:rsidP="003E5C5E">
            <w:pPr>
              <w:jc w:val="left"/>
            </w:pPr>
            <w:r>
              <w:t>Soft tissue</w:t>
            </w:r>
          </w:p>
        </w:tc>
        <w:tc>
          <w:tcPr>
            <w:tcW w:w="3827" w:type="dxa"/>
          </w:tcPr>
          <w:p w14:paraId="19F7027F" w14:textId="77777777" w:rsidR="00FD7D98" w:rsidRDefault="00FD7D98" w:rsidP="003E5C5E">
            <w:pPr>
              <w:jc w:val="left"/>
            </w:pPr>
            <w:r>
              <w:t>Hamstring, calf and Achilles complex, quadriceps and thigh, groin and adductor, soft-tissue knee, back and spine, foot, hip, non-sprain ankle</w:t>
            </w:r>
          </w:p>
        </w:tc>
        <w:tc>
          <w:tcPr>
            <w:tcW w:w="3776" w:type="dxa"/>
          </w:tcPr>
          <w:p w14:paraId="34278D71" w14:textId="77777777" w:rsidR="00FD7D98" w:rsidRDefault="00FD7D98" w:rsidP="003E5C5E">
            <w:pPr>
              <w:jc w:val="left"/>
            </w:pPr>
            <w:r>
              <w:t>Overuse; load should drive these most directly</w:t>
            </w:r>
          </w:p>
        </w:tc>
      </w:tr>
      <w:tr w:rsidR="00FD7D98" w14:paraId="4B46A97E" w14:textId="77777777" w:rsidTr="003E5C5E">
        <w:tc>
          <w:tcPr>
            <w:tcW w:w="1413" w:type="dxa"/>
          </w:tcPr>
          <w:p w14:paraId="373F5760" w14:textId="77777777" w:rsidR="00FD7D98" w:rsidRDefault="00FD7D98" w:rsidP="003E5C5E">
            <w:pPr>
              <w:jc w:val="left"/>
            </w:pPr>
            <w:r>
              <w:t>Load-linked structural</w:t>
            </w:r>
          </w:p>
        </w:tc>
        <w:tc>
          <w:tcPr>
            <w:tcW w:w="3827" w:type="dxa"/>
          </w:tcPr>
          <w:p w14:paraId="1407D039" w14:textId="77777777" w:rsidR="00FD7D98" w:rsidRDefault="00FD7D98" w:rsidP="003E5C5E">
            <w:pPr>
              <w:jc w:val="left"/>
            </w:pPr>
            <w:r>
              <w:t>ACL or PCL, meniscus, ligament tear, ankle sprain, bone stress</w:t>
            </w:r>
          </w:p>
        </w:tc>
        <w:tc>
          <w:tcPr>
            <w:tcW w:w="3776" w:type="dxa"/>
          </w:tcPr>
          <w:p w14:paraId="0ACBE617" w14:textId="77777777" w:rsidR="00FD7D98" w:rsidRDefault="00FD7D98" w:rsidP="003E5C5E">
            <w:pPr>
              <w:jc w:val="left"/>
            </w:pPr>
            <w:r>
              <w:t>Load plausibly contributes through fatigue-degraded landing and cutting mechanics, or repetitive bone loading</w:t>
            </w:r>
          </w:p>
        </w:tc>
      </w:tr>
      <w:tr w:rsidR="00FD7D98" w14:paraId="51D6998A" w14:textId="77777777" w:rsidTr="003E5C5E">
        <w:tc>
          <w:tcPr>
            <w:tcW w:w="1413" w:type="dxa"/>
          </w:tcPr>
          <w:p w14:paraId="70E115E5" w14:textId="77777777" w:rsidR="00FD7D98" w:rsidRDefault="00FD7D98" w:rsidP="003E5C5E">
            <w:pPr>
              <w:jc w:val="left"/>
            </w:pPr>
            <w:r>
              <w:t>Random impact</w:t>
            </w:r>
          </w:p>
        </w:tc>
        <w:tc>
          <w:tcPr>
            <w:tcW w:w="3827" w:type="dxa"/>
          </w:tcPr>
          <w:p w14:paraId="0611EB34" w14:textId="77777777" w:rsidR="00FD7D98" w:rsidRDefault="00FD7D98" w:rsidP="003E5C5E">
            <w:pPr>
              <w:jc w:val="left"/>
            </w:pPr>
            <w:r>
              <w:t>Fracture, dislocation, concussion, eye and face, rib, hand and finger, elbow and wrist, shoulder</w:t>
            </w:r>
          </w:p>
        </w:tc>
        <w:tc>
          <w:tcPr>
            <w:tcW w:w="3776" w:type="dxa"/>
          </w:tcPr>
          <w:p w14:paraId="7878EADA" w14:textId="77777777" w:rsidR="00FD7D98" w:rsidRDefault="00FD7D98" w:rsidP="003E5C5E">
            <w:pPr>
              <w:jc w:val="left"/>
            </w:pPr>
            <w:r>
              <w:t xml:space="preserve">Contact and collision events, essentially independent of accumulated load. </w:t>
            </w:r>
            <w:r>
              <w:rPr>
                <w:b/>
                <w:bCs/>
              </w:rPr>
              <w:t>The negative control</w:t>
            </w:r>
          </w:p>
        </w:tc>
      </w:tr>
    </w:tbl>
    <w:p w14:paraId="30CD3600" w14:textId="77777777" w:rsidR="00FD7D98" w:rsidRDefault="00FD7D98" w:rsidP="00FD7D98">
      <w:r>
        <w:rPr>
          <w:b/>
          <w:bCs/>
        </w:rPr>
        <w:t>Table A2.</w:t>
      </w:r>
      <w:r>
        <w:t xml:space="preserve"> Mechanism tiers used for the cause-specific models.</w:t>
      </w:r>
    </w:p>
    <w:p w14:paraId="6D0CDA8A" w14:textId="77777777" w:rsidR="007F49CF" w:rsidRPr="007F49CF" w:rsidRDefault="007F49CF" w:rsidP="007F49CF">
      <w:pPr>
        <w:pStyle w:val="Heading3"/>
      </w:pPr>
      <w:bookmarkStart w:id="5" w:name="a.3-episode-construction"/>
      <w:r w:rsidRPr="007F49CF">
        <w:lastRenderedPageBreak/>
        <w:t>A.3 Episode construction</w:t>
      </w:r>
    </w:p>
    <w:p w14:paraId="2128D180" w14:textId="77777777" w:rsidR="007F49CF" w:rsidRPr="007F49CF" w:rsidRDefault="007F49CF" w:rsidP="007F49CF">
      <w:r w:rsidRPr="007F49CF">
        <w:t xml:space="preserve">Consecutive missed games attributable to one problem were collapsed into a single injury episode. An episode was classified as new rather than a reaggravation if more than 90 days had elapsed since the player last returned from an absence affecting the same anatomical region, or if the affected region differed from the most recent prior episode. </w:t>
      </w:r>
    </w:p>
    <w:p w14:paraId="35F9EE99" w14:textId="77777777" w:rsidR="007F49CF" w:rsidRPr="007F49CF" w:rsidRDefault="007F49CF" w:rsidP="007F49CF">
      <w:r w:rsidRPr="007F49CF">
        <w:t>Two refinements were required.</w:t>
      </w:r>
    </w:p>
    <w:p w14:paraId="504327EA" w14:textId="77777777" w:rsidR="007F49CF" w:rsidRPr="007F49CF" w:rsidRDefault="007F49CF" w:rsidP="007F49CF">
      <w:r w:rsidRPr="007F49CF">
        <w:rPr>
          <w:b/>
          <w:bCs/>
        </w:rPr>
        <w:t>Region-change splitting during an absence.</w:t>
      </w:r>
      <w:r w:rsidRPr="007F49CF">
        <w:t xml:space="preserve"> A new episode was triggered not only when a player returned to play and was subsequently re-injured, but also when the affected region changed during an absence. Without this, a back injury followed immediately by a foot injury with no appearance between would have been recorded as one episode.</w:t>
      </w:r>
    </w:p>
    <w:p w14:paraId="3B5F2F06" w14:textId="77777777" w:rsidR="007F49CF" w:rsidRPr="007F49CF" w:rsidRDefault="007F49CF" w:rsidP="007F49CF">
      <w:r w:rsidRPr="007F49CF">
        <w:rPr>
          <w:b/>
          <w:bCs/>
        </w:rPr>
        <w:t>Any-prior-episode matching.</w:t>
      </w:r>
      <w:r w:rsidRPr="007F49CF">
        <w:t xml:space="preserve"> The reaggravation test compared each episode against all prior same-region episodes within the season, rather than against the immediately preceding episode alone. This ensures that a third back injury is correctly identified as a reaggravation even where a different injury occurred.</w:t>
      </w:r>
    </w:p>
    <w:p w14:paraId="4D9BCC0D" w14:textId="77777777" w:rsidR="007F49CF" w:rsidRPr="007F49CF" w:rsidRDefault="007F49CF" w:rsidP="007F49CF">
      <w:r w:rsidRPr="007F49CF">
        <w:t>Where a reason string could not be classified, the absence was treated conservatively as a reaggravation of the prior episode if it fell within the 90-day window. This biases against inflating the new-injury count.</w:t>
      </w:r>
    </w:p>
    <w:bookmarkEnd w:id="5"/>
    <w:p w14:paraId="6CEFE483" w14:textId="77777777" w:rsidR="007F49CF" w:rsidRDefault="007F49CF" w:rsidP="007F49CF">
      <w:pPr>
        <w:pStyle w:val="Heading3"/>
      </w:pPr>
      <w:r w:rsidRPr="007F49CF">
        <w:t>A.4 Covariate collinearity screen</w:t>
      </w:r>
    </w:p>
    <w:p w14:paraId="4A1E74F8" w14:textId="77777777" w:rsidR="007F49CF" w:rsidRDefault="007F49CF" w:rsidP="007F49CF">
      <w:r>
        <w:t>Thirty candidate covariates were screened before fitting. Cox models are unstable when two covariates carry nearly the same information: coefficients split between them, standard errors inflate, and signs can reverse. Pairwise Spearman rank correlations were used in preference to Pearson, because these workload distributions are strongly skewed.</w:t>
      </w:r>
    </w:p>
    <w:p w14:paraId="0D7A1FD8" w14:textId="77777777" w:rsidR="007F49CF" w:rsidRDefault="007F49CF" w:rsidP="007F49CF">
      <w:r>
        <w:t xml:space="preserve">Twenty-seven pairs exceeded an absolute correlation of 0.8, clustering into three families: overlapping rolling windows of the same exposure, career-length measures, and in-game effort measures. </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sidRPr="00632E86">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sidRPr="00632E86">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sidRPr="00632E86">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ROLLING_MIN_28D</w:t>
            </w:r>
          </w:p>
        </w:tc>
        <w:tc>
          <w:tcPr>
            <w:tcW w:w="0" w:type="auto"/>
          </w:tcPr>
          <w:p w14:paraId="5D00B42B" w14:textId="77777777" w:rsidR="007F49CF" w:rsidRDefault="007F49CF" w:rsidP="003E5C5E">
            <w:r>
              <w:t>ROLLING_LOAD_7D</w:t>
            </w:r>
          </w:p>
        </w:tc>
        <w:tc>
          <w:tcPr>
            <w:tcW w:w="0" w:type="auto"/>
          </w:tcPr>
          <w:p w14:paraId="7F0CCFD3" w14:textId="77777777" w:rsidR="007F49CF" w:rsidRDefault="007F49CF" w:rsidP="003E5C5E">
            <w:r>
              <w:t>0.852</w:t>
            </w:r>
          </w:p>
        </w:tc>
      </w:tr>
      <w:tr w:rsidR="007F49CF" w14:paraId="31B9F4E8" w14:textId="77777777" w:rsidTr="003E5C5E">
        <w:tc>
          <w:tcPr>
            <w:tcW w:w="0" w:type="auto"/>
          </w:tcPr>
          <w:p w14:paraId="42311F4A" w14:textId="77777777" w:rsidR="007F49CF" w:rsidRDefault="007F49CF" w:rsidP="003E5C5E">
            <w:r>
              <w:t>ROLLING_MIN_42D</w:t>
            </w:r>
          </w:p>
        </w:tc>
        <w:tc>
          <w:tcPr>
            <w:tcW w:w="0" w:type="auto"/>
          </w:tcPr>
          <w:p w14:paraId="718A307F" w14:textId="77777777" w:rsidR="007F49CF" w:rsidRDefault="007F49CF" w:rsidP="003E5C5E">
            <w:r>
              <w:t>ROLLING_GAMES_28D</w:t>
            </w:r>
          </w:p>
        </w:tc>
        <w:tc>
          <w:tcPr>
            <w:tcW w:w="0" w:type="auto"/>
          </w:tcPr>
          <w:p w14:paraId="5D737770" w14:textId="77777777" w:rsidR="007F49CF" w:rsidRDefault="007F49CF" w:rsidP="003E5C5E">
            <w:r>
              <w:t>0.834</w:t>
            </w:r>
          </w:p>
        </w:tc>
      </w:tr>
      <w:tr w:rsidR="007F49CF" w14:paraId="3199F60A" w14:textId="77777777" w:rsidTr="003E5C5E">
        <w:tc>
          <w:tcPr>
            <w:tcW w:w="0" w:type="auto"/>
          </w:tcPr>
          <w:p w14:paraId="45F52D5D" w14:textId="77777777" w:rsidR="007F49CF" w:rsidRDefault="007F49CF" w:rsidP="003E5C5E">
            <w:r>
              <w:t>SEASONS_IN_LEAGUE</w:t>
            </w:r>
          </w:p>
        </w:tc>
        <w:tc>
          <w:tcPr>
            <w:tcW w:w="0" w:type="auto"/>
          </w:tcPr>
          <w:p w14:paraId="69DA34C1" w14:textId="77777777" w:rsidR="007F49CF" w:rsidRDefault="007F49CF" w:rsidP="003E5C5E">
            <w:r>
              <w:t>CAREER_GAMES_MISSED</w:t>
            </w:r>
          </w:p>
        </w:tc>
        <w:tc>
          <w:tcPr>
            <w:tcW w:w="0" w:type="auto"/>
          </w:tcPr>
          <w:p w14:paraId="7326C67F" w14:textId="77777777" w:rsidR="007F49CF" w:rsidRDefault="007F49CF" w:rsidP="003E5C5E">
            <w:r>
              <w:t>0.834</w:t>
            </w:r>
          </w:p>
        </w:tc>
      </w:tr>
      <w:tr w:rsidR="007F49CF" w14:paraId="184C5F74" w14:textId="77777777" w:rsidTr="003E5C5E">
        <w:tc>
          <w:tcPr>
            <w:tcW w:w="0" w:type="auto"/>
          </w:tcPr>
          <w:p w14:paraId="7A80B9DE" w14:textId="77777777" w:rsidR="007F49CF" w:rsidRDefault="007F49CF" w:rsidP="003E5C5E">
            <w:r>
              <w:t>ROLLING_MIN_7D</w:t>
            </w:r>
          </w:p>
        </w:tc>
        <w:tc>
          <w:tcPr>
            <w:tcW w:w="0" w:type="auto"/>
          </w:tcPr>
          <w:p w14:paraId="37676A7E" w14:textId="77777777" w:rsidR="007F49CF" w:rsidRDefault="007F49CF" w:rsidP="003E5C5E">
            <w:r>
              <w:t>MIN</w:t>
            </w:r>
          </w:p>
        </w:tc>
        <w:tc>
          <w:tcPr>
            <w:tcW w:w="0" w:type="auto"/>
          </w:tcPr>
          <w:p w14:paraId="156D2C62" w14:textId="77777777" w:rsidR="007F49CF" w:rsidRDefault="007F49CF" w:rsidP="003E5C5E">
            <w:r>
              <w:t>0.824</w:t>
            </w:r>
          </w:p>
        </w:tc>
      </w:tr>
      <w:tr w:rsidR="007F49CF" w14:paraId="1E932EE0" w14:textId="77777777" w:rsidTr="003E5C5E">
        <w:tc>
          <w:tcPr>
            <w:tcW w:w="0" w:type="auto"/>
          </w:tcPr>
          <w:p w14:paraId="44F6B34A" w14:textId="77777777" w:rsidR="007F49CF" w:rsidRDefault="007F49CF" w:rsidP="003E5C5E">
            <w:r>
              <w:t>ROLLING_INTENSITY_7D</w:t>
            </w:r>
          </w:p>
        </w:tc>
        <w:tc>
          <w:tcPr>
            <w:tcW w:w="0" w:type="auto"/>
          </w:tcPr>
          <w:p w14:paraId="47490908" w14:textId="77777777" w:rsidR="007F49CF" w:rsidRDefault="007F49CF" w:rsidP="003E5C5E">
            <w:r>
              <w:t>INTENSITY</w:t>
            </w:r>
          </w:p>
        </w:tc>
        <w:tc>
          <w:tcPr>
            <w:tcW w:w="0" w:type="auto"/>
          </w:tcPr>
          <w:p w14:paraId="57EC4801" w14:textId="77777777" w:rsidR="007F49CF" w:rsidRDefault="007F49CF" w:rsidP="003E5C5E">
            <w:r>
              <w:t>0.821</w:t>
            </w:r>
          </w:p>
        </w:tc>
      </w:tr>
      <w:tr w:rsidR="007F49CF" w14:paraId="1A0FECFF" w14:textId="77777777" w:rsidTr="003E5C5E">
        <w:tc>
          <w:tcPr>
            <w:tcW w:w="0" w:type="auto"/>
          </w:tcPr>
          <w:p w14:paraId="0F79F90E" w14:textId="77777777" w:rsidR="007F49CF" w:rsidRDefault="007F49CF" w:rsidP="003E5C5E">
            <w:r>
              <w:lastRenderedPageBreak/>
              <w:t>ROLLING_MIN_28D</w:t>
            </w:r>
          </w:p>
        </w:tc>
        <w:tc>
          <w:tcPr>
            <w:tcW w:w="0" w:type="auto"/>
          </w:tcPr>
          <w:p w14:paraId="555451F8" w14:textId="77777777" w:rsidR="007F49CF" w:rsidRDefault="007F49CF" w:rsidP="003E5C5E">
            <w:r>
              <w:t>SEASON_CUMULATIVE_MIN</w:t>
            </w:r>
          </w:p>
        </w:tc>
        <w:tc>
          <w:tcPr>
            <w:tcW w:w="0" w:type="auto"/>
          </w:tcPr>
          <w:p w14:paraId="1ED986AA" w14:textId="77777777" w:rsidR="007F49CF" w:rsidRDefault="007F49CF" w:rsidP="003E5C5E">
            <w:r>
              <w:t>0.819</w:t>
            </w:r>
          </w:p>
        </w:tc>
      </w:tr>
      <w:tr w:rsidR="007F49CF" w14:paraId="10E2D123" w14:textId="77777777" w:rsidTr="003E5C5E">
        <w:tc>
          <w:tcPr>
            <w:tcW w:w="0" w:type="auto"/>
          </w:tcPr>
          <w:p w14:paraId="70039FD1" w14:textId="77777777" w:rsidR="007F49CF" w:rsidRDefault="007F49CF" w:rsidP="003E5C5E">
            <w:r>
              <w:t>SEASON_CUMULATIVE_MIN</w:t>
            </w:r>
          </w:p>
        </w:tc>
        <w:tc>
          <w:tcPr>
            <w:tcW w:w="0" w:type="auto"/>
          </w:tcPr>
          <w:p w14:paraId="56170312" w14:textId="77777777" w:rsidR="007F49CF" w:rsidRDefault="007F49CF" w:rsidP="003E5C5E">
            <w:r>
              <w:t>ROLLING_LOAD_28D</w:t>
            </w:r>
          </w:p>
        </w:tc>
        <w:tc>
          <w:tcPr>
            <w:tcW w:w="0" w:type="auto"/>
          </w:tcPr>
          <w:p w14:paraId="4BDDA3D4" w14:textId="77777777" w:rsidR="007F49CF" w:rsidRDefault="007F49CF" w:rsidP="003E5C5E">
            <w:r>
              <w:t>0.816</w:t>
            </w:r>
          </w:p>
        </w:tc>
      </w:tr>
      <w:tr w:rsidR="007F49CF" w14:paraId="3CDB033F" w14:textId="77777777" w:rsidTr="003E5C5E">
        <w:tc>
          <w:tcPr>
            <w:tcW w:w="0" w:type="auto"/>
          </w:tcPr>
          <w:p w14:paraId="687DEC60" w14:textId="77777777" w:rsidR="007F49CF" w:rsidRDefault="007F49CF" w:rsidP="003E5C5E">
            <w:r>
              <w:t>ROLLING_LOAD_7D</w:t>
            </w:r>
          </w:p>
        </w:tc>
        <w:tc>
          <w:tcPr>
            <w:tcW w:w="0" w:type="auto"/>
          </w:tcPr>
          <w:p w14:paraId="41E215B6" w14:textId="77777777" w:rsidR="007F49CF" w:rsidRDefault="007F49CF" w:rsidP="003E5C5E">
            <w:r>
              <w:t>MIN</w:t>
            </w:r>
          </w:p>
        </w:tc>
        <w:tc>
          <w:tcPr>
            <w:tcW w:w="0" w:type="auto"/>
          </w:tcPr>
          <w:p w14:paraId="1967C41B" w14:textId="77777777" w:rsidR="007F49CF" w:rsidRDefault="007F49CF" w:rsidP="003E5C5E">
            <w:r>
              <w:t>0.813</w:t>
            </w:r>
          </w:p>
        </w:tc>
      </w:tr>
      <w:tr w:rsidR="007F49CF" w14:paraId="506A7DF7" w14:textId="77777777" w:rsidTr="003E5C5E">
        <w:tc>
          <w:tcPr>
            <w:tcW w:w="0" w:type="auto"/>
          </w:tcPr>
          <w:p w14:paraId="39184DA5" w14:textId="77777777" w:rsidR="007F49CF" w:rsidRDefault="007F49CF" w:rsidP="003E5C5E">
            <w:r>
              <w:t>ROLLING_MIN_7D</w:t>
            </w:r>
          </w:p>
        </w:tc>
        <w:tc>
          <w:tcPr>
            <w:tcW w:w="0" w:type="auto"/>
          </w:tcPr>
          <w:p w14:paraId="746790E6" w14:textId="77777777" w:rsidR="007F49CF" w:rsidRDefault="007F49CF" w:rsidP="003E5C5E">
            <w:r>
              <w:t>ROLLING_MIN_42D</w:t>
            </w:r>
          </w:p>
        </w:tc>
        <w:tc>
          <w:tcPr>
            <w:tcW w:w="0" w:type="auto"/>
          </w:tcPr>
          <w:p w14:paraId="442EBF37" w14:textId="77777777" w:rsidR="007F49CF" w:rsidRDefault="007F49CF" w:rsidP="003E5C5E">
            <w:r>
              <w:t>0.812</w:t>
            </w:r>
          </w:p>
        </w:tc>
      </w:tr>
      <w:tr w:rsidR="007F49CF" w14:paraId="285067A5" w14:textId="77777777" w:rsidTr="003E5C5E">
        <w:tc>
          <w:tcPr>
            <w:tcW w:w="0" w:type="auto"/>
          </w:tcPr>
          <w:p w14:paraId="206F5688" w14:textId="77777777" w:rsidR="007F49CF" w:rsidRDefault="007F49CF" w:rsidP="003E5C5E">
            <w:r>
              <w:t>ROLLING_LOAD_7D</w:t>
            </w:r>
          </w:p>
        </w:tc>
        <w:tc>
          <w:tcPr>
            <w:tcW w:w="0" w:type="auto"/>
          </w:tcPr>
          <w:p w14:paraId="6A57652A" w14:textId="77777777" w:rsidR="007F49CF" w:rsidRDefault="007F49CF" w:rsidP="003E5C5E">
            <w:r>
              <w:t>DISTANCE</w:t>
            </w:r>
          </w:p>
        </w:tc>
        <w:tc>
          <w:tcPr>
            <w:tcW w:w="0" w:type="auto"/>
          </w:tcPr>
          <w:p w14:paraId="35D0DA38" w14:textId="77777777" w:rsidR="007F49CF" w:rsidRDefault="007F49CF" w:rsidP="003E5C5E">
            <w:r>
              <w:t>0.809</w:t>
            </w:r>
          </w:p>
        </w:tc>
      </w:tr>
      <w:tr w:rsidR="007F49CF" w14:paraId="78E2E600" w14:textId="77777777" w:rsidTr="003E5C5E">
        <w:tc>
          <w:tcPr>
            <w:tcW w:w="0" w:type="auto"/>
          </w:tcPr>
          <w:p w14:paraId="2FA4DB7E" w14:textId="77777777" w:rsidR="007F49CF" w:rsidRDefault="007F49CF" w:rsidP="003E5C5E">
            <w:r>
              <w:t>ROLLING_MIN_7D</w:t>
            </w:r>
          </w:p>
        </w:tc>
        <w:tc>
          <w:tcPr>
            <w:tcW w:w="0" w:type="auto"/>
          </w:tcPr>
          <w:p w14:paraId="62852D3D" w14:textId="77777777" w:rsidR="007F49CF" w:rsidRDefault="007F49CF" w:rsidP="003E5C5E">
            <w:r>
              <w:t>DISTANCE</w:t>
            </w:r>
          </w:p>
        </w:tc>
        <w:tc>
          <w:tcPr>
            <w:tcW w:w="0" w:type="auto"/>
          </w:tcPr>
          <w:p w14:paraId="2A256D68" w14:textId="77777777" w:rsidR="007F49CF" w:rsidRDefault="007F49CF" w:rsidP="003E5C5E">
            <w:r>
              <w:t>0.808</w:t>
            </w:r>
          </w:p>
        </w:tc>
      </w:tr>
      <w:tr w:rsidR="007F49CF" w14:paraId="7F41A507" w14:textId="77777777" w:rsidTr="003E5C5E">
        <w:tc>
          <w:tcPr>
            <w:tcW w:w="0" w:type="auto"/>
          </w:tcPr>
          <w:p w14:paraId="339E892F" w14:textId="77777777" w:rsidR="007F49CF" w:rsidRDefault="007F49CF" w:rsidP="003E5C5E">
            <w:r>
              <w:t>ROLLING_MIN_42D</w:t>
            </w:r>
          </w:p>
        </w:tc>
        <w:tc>
          <w:tcPr>
            <w:tcW w:w="0" w:type="auto"/>
          </w:tcPr>
          <w:p w14:paraId="64019B3A" w14:textId="77777777" w:rsidR="007F49CF" w:rsidRDefault="007F49CF" w:rsidP="003E5C5E">
            <w:r>
              <w:t>ROLLING_LOAD_7D</w:t>
            </w:r>
          </w:p>
        </w:tc>
        <w:tc>
          <w:tcPr>
            <w:tcW w:w="0" w:type="auto"/>
          </w:tcPr>
          <w:p w14:paraId="2CACE107" w14:textId="77777777" w:rsidR="007F49CF" w:rsidRDefault="007F49CF" w:rsidP="003E5C5E">
            <w:r>
              <w:t>0.804</w:t>
            </w:r>
          </w:p>
        </w:tc>
      </w:tr>
    </w:tbl>
    <w:p w14:paraId="1464F56E" w14:textId="77777777" w:rsidR="007F49CF" w:rsidRDefault="007F49CF" w:rsidP="007F49CF">
      <w:r>
        <w:rPr>
          <w:b/>
          <w:bCs/>
        </w:rPr>
        <w:t>Table A3.</w:t>
      </w:r>
      <w:r>
        <w:t xml:space="preserve"> Covariate pairs exceeding an absolute Spearman correlation of 0.8. Three further pairs between 0.80 and 0.81 are removed for space.</w:t>
      </w:r>
    </w:p>
    <w:p w14:paraId="0028486B" w14:textId="77777777" w:rsidR="007F49CF" w:rsidRDefault="007F49CF" w:rsidP="007F49CF">
      <w:r>
        <w:t>Three retention decisions are worth recording. The 28-day chronic window was retained over the 42-day window, since 28 days is conventional in the acute-to-chronic literature and keeps results comparable with prior work. League tenure was retained over age and draft year, since tenure is the construct the argument in Section 2.4 indicates. The 28-day rolling appearance count was dropped, correlating at 0.87 with chronic load and returning a null estimate when fitted, while the seven-day count was retained, since its correlation falls below the threshold and it separates frequency from volume: four games in a week is a different from the same minutes across two.</w:t>
      </w:r>
    </w:p>
    <w:p w14:paraId="1461FCD6" w14:textId="77777777" w:rsidR="007F49CF" w:rsidRDefault="007F49CF" w:rsidP="00FD7D98"/>
    <w:bookmarkEnd w:id="4"/>
    <w:p w14:paraId="4DA61307" w14:textId="77777777" w:rsidR="00110977" w:rsidRDefault="00110977" w:rsidP="009D056D">
      <w:pPr>
        <w:pStyle w:val="Heading1"/>
      </w:pPr>
      <w:r>
        <w:t>Appendix B</w:t>
      </w:r>
    </w:p>
    <w:p w14:paraId="7734D4DF" w14:textId="2DDA2415" w:rsidR="00110977" w:rsidRDefault="00110977" w:rsidP="00110977">
      <w:r>
        <w:t xml:space="preserve">All appendix sections must be cited in the main text. In the appendices, Figures, Tables, etc. should be </w:t>
      </w:r>
      <w:r w:rsidR="007857E8">
        <w:t>labelled</w:t>
      </w:r>
      <w:r>
        <w:t xml:space="preserve"> starting with “A”—e.g., Figure A1, Figure A2, etc.</w:t>
      </w:r>
    </w:p>
    <w:p w14:paraId="4CDB7742" w14:textId="77777777" w:rsidR="00844570" w:rsidRDefault="00844570"/>
    <w:sectPr w:rsidR="00844570" w:rsidSect="00110977">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B6E483" w14:textId="77777777" w:rsidR="003F1804" w:rsidRDefault="003F1804" w:rsidP="00110977">
      <w:pPr>
        <w:spacing w:after="0" w:line="240" w:lineRule="auto"/>
      </w:pPr>
      <w:r>
        <w:separator/>
      </w:r>
    </w:p>
  </w:endnote>
  <w:endnote w:type="continuationSeparator" w:id="0">
    <w:p w14:paraId="6BB102C2" w14:textId="77777777" w:rsidR="003F1804" w:rsidRDefault="003F1804"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3F1804">
    <w:pPr>
      <w:pStyle w:val="Footer"/>
    </w:pPr>
    <w:r>
      <w:pict w14:anchorId="3D72D764">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B6F2FD" w14:textId="77777777" w:rsidR="003F1804" w:rsidRDefault="003F1804" w:rsidP="00110977">
      <w:pPr>
        <w:spacing w:after="0" w:line="240" w:lineRule="auto"/>
      </w:pPr>
      <w:r>
        <w:separator/>
      </w:r>
    </w:p>
  </w:footnote>
  <w:footnote w:type="continuationSeparator" w:id="0">
    <w:p w14:paraId="6B450B62" w14:textId="77777777" w:rsidR="003F1804" w:rsidRDefault="003F1804"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3F1804" w:rsidP="00110977">
    <w:pPr>
      <w:pStyle w:val="Header"/>
      <w:tabs>
        <w:tab w:val="left" w:pos="516"/>
      </w:tabs>
      <w:jc w:val="right"/>
    </w:pPr>
    <w:r>
      <w:pict w14:anchorId="6925022B">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0"/>
  </w:num>
  <w:num w:numId="2" w16cid:durableId="169102956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D7920"/>
    <w:rsid w:val="00110977"/>
    <w:rsid w:val="00120DFC"/>
    <w:rsid w:val="001E1E36"/>
    <w:rsid w:val="00391C75"/>
    <w:rsid w:val="003F1804"/>
    <w:rsid w:val="005E54EC"/>
    <w:rsid w:val="006E7987"/>
    <w:rsid w:val="00710B07"/>
    <w:rsid w:val="007857E8"/>
    <w:rsid w:val="00792AB3"/>
    <w:rsid w:val="007C5A5B"/>
    <w:rsid w:val="007F49CF"/>
    <w:rsid w:val="00844570"/>
    <w:rsid w:val="00845D0B"/>
    <w:rsid w:val="008B0D3B"/>
    <w:rsid w:val="009D056D"/>
    <w:rsid w:val="00A92A4B"/>
    <w:rsid w:val="00AD7539"/>
    <w:rsid w:val="00D639E3"/>
    <w:rsid w:val="00D7523E"/>
    <w:rsid w:val="00D875DB"/>
    <w:rsid w:val="00E449F6"/>
    <w:rsid w:val="00FD7D9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160</TotalTime>
  <Pages>9</Pages>
  <Words>3318</Words>
  <Characters>18914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12</cp:revision>
  <cp:lastPrinted>2026-06-23T00:20:00Z</cp:lastPrinted>
  <dcterms:created xsi:type="dcterms:W3CDTF">2026-06-22T23:53:00Z</dcterms:created>
  <dcterms:modified xsi:type="dcterms:W3CDTF">2026-08-02T06:17:00Z</dcterms:modified>
</cp:coreProperties>
</file>