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uppressAutoHyphens w:val="true"/>
        <w:bidi w:val="0"/>
        <w:spacing w:before="0" w:after="58"/>
        <w:ind w:left="0" w:right="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Дополнительное соглашение</w:t>
      </w:r>
    </w:p>
    <w:p>
      <w:pPr>
        <w:pStyle w:val="Normal"/>
        <w:widowControl/>
        <w:suppressAutoHyphens w:val="true"/>
        <w:bidi w:val="0"/>
        <w:spacing w:before="0" w:after="58"/>
        <w:ind w:left="0" w:right="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к лицензионному договору №{{ agr_num }} от {{ agr_concluded }}</w:t>
      </w:r>
    </w:p>
    <w:p>
      <w:pPr>
        <w:pStyle w:val="Normal"/>
        <w:widowControl/>
        <w:suppressAutoHyphens w:val="true"/>
        <w:bidi w:val="0"/>
        <w:spacing w:before="0" w:after="58"/>
        <w:ind w:left="0" w:right="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(регистрация №{{ agr_reg_num }} от {{ agr_reg_date }})</w:t>
      </w:r>
    </w:p>
    <w:p>
      <w:pPr>
        <w:pStyle w:val="Normal"/>
        <w:widowControl/>
        <w:suppressAutoHyphens w:val="true"/>
        <w:bidi w:val="0"/>
        <w:spacing w:before="0" w:after="58"/>
        <w:ind w:left="0" w:right="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/>
        <w:tabs>
          <w:tab w:val="clear" w:pos="720"/>
          <w:tab w:val="right" w:pos="9922" w:leader="none"/>
        </w:tabs>
        <w:suppressAutoHyphens w:val="true"/>
        <w:bidi w:val="0"/>
        <w:spacing w:before="0" w:after="58"/>
        <w:ind w:left="0" w:right="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город Москва</w:t>
        <w:tab/>
        <w:t>{{ add_date }}</w:t>
      </w:r>
    </w:p>
    <w:p>
      <w:pPr>
        <w:pStyle w:val="Normal"/>
        <w:widowControl/>
        <w:tabs>
          <w:tab w:val="clear" w:pos="720"/>
          <w:tab w:val="right" w:pos="9922" w:leader="none"/>
        </w:tabs>
        <w:suppressAutoHyphens w:val="true"/>
        <w:bidi w:val="0"/>
        <w:spacing w:before="0" w:after="58"/>
        <w:ind w:left="0" w:right="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/>
        <w:tabs>
          <w:tab w:val="clear" w:pos="720"/>
          <w:tab w:val="right" w:pos="9922" w:leader="none"/>
        </w:tabs>
        <w:suppressAutoHyphens w:val="true"/>
        <w:bidi w:val="0"/>
        <w:spacing w:before="0" w:after="58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{{ licensor_name }} в лице {{ lr_ceo_type_gent }} {{ lr_ceo_name_gent }}, действующего на основании Устава, именуемое в дальнейшем ЛИЦЕНЗИАР, с одной стороны, и {{ licensee_name }} в лице {{ le_ceo_type_gent }} {{ le_ceo_name_gent }}, действующего на основании Устава, именуемое в дальнейшем ЛИЦЕНЗИАТ, с другой стороны, </w:t>
      </w:r>
    </w:p>
    <w:p>
      <w:pPr>
        <w:pStyle w:val="Normal"/>
        <w:widowControl/>
        <w:tabs>
          <w:tab w:val="clear" w:pos="720"/>
          <w:tab w:val="right" w:pos="9922" w:leader="none"/>
        </w:tabs>
        <w:suppressAutoHyphens w:val="true"/>
        <w:bidi w:val="0"/>
        <w:spacing w:before="0" w:after="58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принимая во внимание заключенный лицензионный договор №{{ agr_num }} от {{ agr_concluded }}, предоставление прав по которому зарегистрировано Роспатентом {{ agr_reg_date }} за №{{ agr_reg_num }},</w:t>
      </w:r>
    </w:p>
    <w:p>
      <w:pPr>
        <w:pStyle w:val="Normal"/>
        <w:widowControl/>
        <w:tabs>
          <w:tab w:val="clear" w:pos="720"/>
          <w:tab w:val="right" w:pos="9922" w:leader="none"/>
        </w:tabs>
        <w:suppressAutoHyphens w:val="true"/>
        <w:bidi w:val="0"/>
        <w:spacing w:before="0" w:after="58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по условиям которого ЛИЦЕНЗИАТ получил право использовать следующие товарные знаки:</w:t>
      </w:r>
    </w:p>
    <w:p>
      <w:pPr>
        <w:pStyle w:val="Normal"/>
        <w:widowControl/>
        <w:tabs>
          <w:tab w:val="clear" w:pos="720"/>
          <w:tab w:val="right" w:pos="9922" w:leader="none"/>
        </w:tabs>
        <w:suppressAutoHyphens w:val="true"/>
        <w:bidi w:val="0"/>
        <w:spacing w:before="0" w:after="58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{{ trademarks }}</w:t>
      </w:r>
    </w:p>
    <w:p>
      <w:pPr>
        <w:pStyle w:val="Normal"/>
        <w:widowControl/>
        <w:tabs>
          <w:tab w:val="clear" w:pos="720"/>
          <w:tab w:val="right" w:pos="9922" w:leader="none"/>
        </w:tabs>
        <w:suppressAutoHyphens w:val="true"/>
        <w:bidi w:val="0"/>
        <w:spacing w:before="0" w:after="58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пришли к соглашению о нижеследующем:</w:t>
      </w:r>
    </w:p>
    <w:p>
      <w:pPr>
        <w:pStyle w:val="Normal"/>
        <w:widowControl/>
        <w:tabs>
          <w:tab w:val="clear" w:pos="720"/>
          <w:tab w:val="right" w:pos="9922" w:leader="none"/>
        </w:tabs>
        <w:suppressAutoHyphens w:val="true"/>
        <w:bidi w:val="0"/>
        <w:spacing w:before="0" w:after="58"/>
        <w:ind w:left="0" w:right="0" w:hanging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Продлить срок действия лицензионного договора до {{ prolong_term }} включительно.</w:t>
      </w:r>
    </w:p>
    <w:p>
      <w:pPr>
        <w:pStyle w:val="Normal"/>
        <w:widowControl/>
        <w:tabs>
          <w:tab w:val="clear" w:pos="720"/>
          <w:tab w:val="right" w:pos="9922" w:leader="none"/>
        </w:tabs>
        <w:suppressAutoHyphens w:val="true"/>
        <w:bidi w:val="0"/>
        <w:spacing w:before="0" w:after="58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 Прочие условия лицензионного договора продолжают действовать без изменений в течение всего срока.</w:t>
      </w:r>
    </w:p>
    <w:p>
      <w:pPr>
        <w:pStyle w:val="Normal"/>
        <w:widowControl/>
        <w:tabs>
          <w:tab w:val="clear" w:pos="720"/>
          <w:tab w:val="right" w:pos="9922" w:leader="none"/>
        </w:tabs>
        <w:suppressAutoHyphens w:val="true"/>
        <w:bidi w:val="0"/>
        <w:spacing w:before="0" w:after="58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 Настоящее соглашение составлено в трех экземплярах, по одному для каждой из Сторон, и один для Федеральной службы по интеллектуальной собственности, вступает в силу с момента его подписания Сторонами.</w:t>
      </w:r>
    </w:p>
    <w:p>
      <w:pPr>
        <w:pStyle w:val="Normal"/>
        <w:widowControl/>
        <w:tabs>
          <w:tab w:val="clear" w:pos="720"/>
          <w:tab w:val="right" w:pos="9922" w:leader="none"/>
        </w:tabs>
        <w:suppressAutoHyphens w:val="true"/>
        <w:bidi w:val="0"/>
        <w:spacing w:before="0" w:after="58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 Продление срока действия лицензионного договора подлежит государственной регистрации Федеральной службой по интеллектуальной собственности. По соглашению Сторон расходы по регистрации несет ЛИЦЕНЗИАТ, заявление и подача на регистрацию осуществляется ЛИЦЕНЗИАРОМ.</w:t>
      </w:r>
    </w:p>
    <w:p>
      <w:pPr>
        <w:pStyle w:val="Normal"/>
        <w:widowControl/>
        <w:tabs>
          <w:tab w:val="clear" w:pos="720"/>
          <w:tab w:val="right" w:pos="9922" w:leader="none"/>
        </w:tabs>
        <w:suppressAutoHyphens w:val="true"/>
        <w:bidi w:val="0"/>
        <w:spacing w:before="0" w:after="58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60"/>
        <w:gridCol w:w="4961"/>
      </w:tblGrid>
      <w:tr>
        <w:trPr/>
        <w:tc>
          <w:tcPr>
            <w:tcW w:w="4960" w:type="dxa"/>
            <w:tcBorders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ЛИЦЕНЗИАР</w:t>
            </w:r>
          </w:p>
        </w:tc>
        <w:tc>
          <w:tcPr>
            <w:tcW w:w="4961" w:type="dxa"/>
            <w:tcBorders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ЛИЦЕНЗИАТ</w:t>
            </w:r>
          </w:p>
        </w:tc>
      </w:tr>
      <w:tr>
        <w:trPr/>
        <w:tc>
          <w:tcPr>
            <w:tcW w:w="496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{{ lr_requisities }}</w:t>
            </w:r>
          </w:p>
        </w:tc>
        <w:tc>
          <w:tcPr>
            <w:tcW w:w="496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{{ le_requisities }}</w:t>
            </w:r>
          </w:p>
        </w:tc>
      </w:tr>
      <w:tr>
        <w:trPr/>
        <w:tc>
          <w:tcPr>
            <w:tcW w:w="496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{{ lr_ceo_nom }}</w:t>
            </w:r>
          </w:p>
        </w:tc>
        <w:tc>
          <w:tcPr>
            <w:tcW w:w="496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{{ le_ceo_nom }}</w:t>
            </w:r>
          </w:p>
        </w:tc>
      </w:tr>
      <w:tr>
        <w:trPr/>
        <w:tc>
          <w:tcPr>
            <w:tcW w:w="496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>_________________ {{ lr_ceo_shortname }}</w:t>
            </w:r>
          </w:p>
        </w:tc>
        <w:tc>
          <w:tcPr>
            <w:tcW w:w="496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>_________________ {{ le_ceo_shortname }}</w:t>
            </w:r>
          </w:p>
        </w:tc>
      </w:tr>
    </w:tbl>
    <w:p>
      <w:pPr>
        <w:pStyle w:val="Normal"/>
        <w:widowControl/>
        <w:tabs>
          <w:tab w:val="clear" w:pos="720"/>
          <w:tab w:val="right" w:pos="9922" w:leader="none"/>
        </w:tabs>
        <w:suppressAutoHyphens w:val="true"/>
        <w:bidi w:val="0"/>
        <w:spacing w:before="0" w:after="58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tabs>
          <w:tab w:val="clear" w:pos="720"/>
          <w:tab w:val="right" w:pos="9922" w:leader="none"/>
        </w:tabs>
        <w:suppressAutoHyphens w:val="true"/>
        <w:bidi w:val="0"/>
        <w:spacing w:before="0" w:after="58"/>
        <w:ind w:left="0" w:right="0" w:hanging="0"/>
        <w:jc w:val="both"/>
        <w:rPr/>
      </w:pPr>
      <w:r>
        <w:rPr/>
      </w:r>
      <w:bookmarkStart w:id="0" w:name="_GoBack"/>
      <w:bookmarkStart w:id="1" w:name="_GoBack"/>
      <w:bookmarkEnd w:id="1"/>
    </w:p>
    <w:sectPr>
      <w:headerReference w:type="default" r:id="rId2"/>
      <w:type w:val="nextPage"/>
      <w:pgSz w:w="11906" w:h="16838"/>
      <w:pgMar w:left="1134" w:right="850" w:gutter="0" w:header="397" w:top="850" w:footer="0" w:bottom="567"/>
      <w:pgNumType w:start="1" w:fmt="decimal"/>
      <w:formProt w:val="false"/>
      <w:textDirection w:val="lrTb"/>
      <w:rtlGutter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153"/>
        <w:tab w:val="clear" w:pos="8306"/>
      </w:tabs>
      <w:jc w:val="right"/>
      <w:rPr>
        <w:sz w:val="14"/>
        <w:szCs w:val="14"/>
      </w:rPr>
    </w:pPr>
    <w:r>
      <w:rPr>
        <w:sz w:val="14"/>
        <w:szCs w:val="14"/>
      </w:rPr>
    </w:r>
  </w:p>
</w:hdr>
</file>

<file path=word/settings.xml><?xml version="1.0" encoding="utf-8"?>
<w:settings xmlns:w="http://schemas.openxmlformats.org/wordprocessingml/2006/main">
  <w:zoom w:percent="130"/>
  <w:embedSystemFonts/>
  <w:defaultTabStop w:val="720"/>
  <w:autoHyphenation w:val="true"/>
  <w:doNotHyphenateCaps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e210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uiPriority w:val="99"/>
    <w:semiHidden/>
    <w:qFormat/>
    <w:locked/>
    <w:rPr>
      <w:rFonts w:cs="Times New Roman"/>
      <w:sz w:val="20"/>
      <w:szCs w:val="20"/>
    </w:rPr>
  </w:style>
  <w:style w:type="character" w:styleId="Style15" w:customStyle="1">
    <w:name w:val="Нижний колонтитул Знак"/>
    <w:uiPriority w:val="99"/>
    <w:semiHidden/>
    <w:qFormat/>
    <w:locked/>
    <w:rPr>
      <w:rFonts w:cs="Times New Roman"/>
      <w:sz w:val="20"/>
      <w:szCs w:val="20"/>
    </w:rPr>
  </w:style>
  <w:style w:type="character" w:styleId="Style16" w:customStyle="1">
    <w:name w:val="Текст сноски Знак"/>
    <w:uiPriority w:val="99"/>
    <w:semiHidden/>
    <w:qFormat/>
    <w:locked/>
    <w:rPr>
      <w:rFonts w:cs="Times New Roman"/>
      <w:sz w:val="20"/>
      <w:szCs w:val="20"/>
    </w:rPr>
  </w:style>
  <w:style w:type="character" w:styleId="FootnoteCharacters">
    <w:name w:val="Footnote Characters"/>
    <w:uiPriority w:val="99"/>
    <w:qFormat/>
    <w:rPr>
      <w:rFonts w:cs="Times New Roman"/>
      <w:vertAlign w:val="superscript"/>
    </w:rPr>
  </w:style>
  <w:style w:type="character" w:styleId="FootnoteAnchor">
    <w:name w:val="Footnote Anchor"/>
    <w:rPr>
      <w:rFonts w:cs="Times New Roman"/>
      <w:vertAlign w:val="superscript"/>
    </w:rPr>
  </w:style>
  <w:style w:type="character" w:styleId="Style17" w:customStyle="1">
    <w:name w:val="Текст концевой сноски Знак"/>
    <w:uiPriority w:val="99"/>
    <w:semiHidden/>
    <w:qFormat/>
    <w:locked/>
    <w:rPr>
      <w:rFonts w:cs="Times New Roman"/>
      <w:sz w:val="20"/>
      <w:szCs w:val="20"/>
    </w:rPr>
  </w:style>
  <w:style w:type="character" w:styleId="EndnoteCharacters">
    <w:name w:val="Endnote Characters"/>
    <w:uiPriority w:val="99"/>
    <w:semiHidden/>
    <w:qFormat/>
    <w:rsid w:val="001075d0"/>
    <w:rPr>
      <w:rFonts w:cs="Times New Roman"/>
      <w:vertAlign w:val="superscript"/>
    </w:rPr>
  </w:style>
  <w:style w:type="character" w:styleId="EndnoteAnchor">
    <w:name w:val="Endnote Anchor"/>
    <w:rPr>
      <w:rFonts w:cs="Times New Roman"/>
      <w:vertAlign w:val="superscript"/>
    </w:rPr>
  </w:style>
  <w:style w:type="character" w:styleId="Style18" w:customStyle="1">
    <w:name w:val="Текст выноски Знак"/>
    <w:uiPriority w:val="99"/>
    <w:semiHidden/>
    <w:qFormat/>
    <w:rsid w:val="00f27faa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uiPriority w:val="99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note">
    <w:name w:val="Footnote Text"/>
    <w:basedOn w:val="Normal"/>
    <w:uiPriority w:val="99"/>
    <w:pPr/>
    <w:rPr/>
  </w:style>
  <w:style w:type="paragraph" w:styleId="ConsNormal" w:customStyle="1">
    <w:name w:val="ConsNormal"/>
    <w:uiPriority w:val="99"/>
    <w:qFormat/>
    <w:rsid w:val="00e93b33"/>
    <w:pPr>
      <w:widowControl/>
      <w:suppressAutoHyphens w:val="true"/>
      <w:bidi w:val="0"/>
      <w:spacing w:before="0" w:after="0"/>
      <w:ind w:right="19772" w:hanging="0"/>
      <w:jc w:val="both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Endnote">
    <w:name w:val="Endnote Text"/>
    <w:basedOn w:val="Normal"/>
    <w:uiPriority w:val="99"/>
    <w:semiHidden/>
    <w:rsid w:val="001075d0"/>
    <w:pPr/>
    <w:rPr/>
  </w:style>
  <w:style w:type="paragraph" w:styleId="BalloonText">
    <w:name w:val="Balloon Text"/>
    <w:basedOn w:val="Normal"/>
    <w:uiPriority w:val="99"/>
    <w:semiHidden/>
    <w:unhideWhenUsed/>
    <w:qFormat/>
    <w:rsid w:val="00f27faa"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99"/>
    <w:rsid w:val="00dd1a0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LibreOffice/7.3.2.2$Linux_X86_64 LibreOffice_project/30$Build-2</Application>
  <AppVersion>15.0000</AppVersion>
  <Pages>1</Pages>
  <Words>218</Words>
  <Characters>1443</Characters>
  <CharactersWithSpaces>1641</CharactersWithSpaces>
  <Paragraphs>21</Paragraphs>
  <Company>КонсультантПлюс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2021-08-27T05:34:00Z</dcterms:created>
  <dc:creator>КонсультантПлюс</dc:creator>
  <dc:description/>
  <dc:language>ru-RU</dc:language>
  <cp:lastModifiedBy/>
  <cp:lastPrinted>2020-10-02T09:55:00Z</cp:lastPrinted>
  <dcterms:modified xsi:type="dcterms:W3CDTF">2022-05-18T12:01:17Z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