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D3346" w14:textId="77777777" w:rsidR="00102E8E" w:rsidRDefault="00102E8E">
      <w:bookmarkStart w:id="0" w:name="_GoBack"/>
      <w:bookmarkEnd w:id="0"/>
    </w:p>
    <w:p w14:paraId="5FCD3347" w14:textId="77777777" w:rsidR="00167C1F" w:rsidRDefault="003F2177" w:rsidP="00167C1F">
      <w:pPr>
        <w:spacing w:after="0" w:line="240" w:lineRule="auto"/>
        <w:rPr>
          <w:b/>
          <w:sz w:val="24"/>
        </w:rPr>
      </w:pPr>
      <w:sdt>
        <w:sdtPr>
          <w:rPr>
            <w:b/>
            <w:sz w:val="24"/>
            <w:szCs w:val="24"/>
          </w:rPr>
          <w:id w:val="-812405290"/>
          <w:placeholder>
            <w:docPart w:val="319C2B613235421E893FC793D50527F0"/>
          </w:placeholder>
        </w:sdtPr>
        <w:sdtEndPr/>
        <w:sdtContent>
          <w:r w:rsidR="00167C1F" w:rsidRPr="00C10E92">
            <w:rPr>
              <w:b/>
              <w:sz w:val="24"/>
              <w:szCs w:val="24"/>
            </w:rPr>
            <w:t>Data Dictionary</w:t>
          </w:r>
          <w:r w:rsidR="00167C1F">
            <w:rPr>
              <w:b/>
              <w:sz w:val="24"/>
              <w:szCs w:val="24"/>
            </w:rPr>
            <w:t>-</w:t>
          </w:r>
        </w:sdtContent>
      </w:sdt>
      <w:r w:rsidR="00167C1F" w:rsidRPr="00AD25E9">
        <w:rPr>
          <w:sz w:val="24"/>
        </w:rPr>
        <w:t xml:space="preserve"> </w:t>
      </w:r>
      <w:r w:rsidR="00167C1F" w:rsidRPr="00167C1F">
        <w:rPr>
          <w:b/>
          <w:sz w:val="24"/>
        </w:rPr>
        <w:t>Ischemic Stroke Hospital 30-day Mortality and 30-day Readmission Rates</w:t>
      </w:r>
    </w:p>
    <w:p w14:paraId="5FCD3348" w14:textId="77777777" w:rsidR="00167C1F" w:rsidRDefault="00167C1F" w:rsidP="00167C1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</w:p>
    <w:tbl>
      <w:tblPr>
        <w:tblW w:w="9710" w:type="dxa"/>
        <w:tblInd w:w="30" w:type="dxa"/>
        <w:tblLook w:val="04A0" w:firstRow="1" w:lastRow="0" w:firstColumn="1" w:lastColumn="0" w:noHBand="0" w:noVBand="1"/>
      </w:tblPr>
      <w:tblGrid>
        <w:gridCol w:w="2645"/>
        <w:gridCol w:w="2143"/>
        <w:gridCol w:w="1410"/>
        <w:gridCol w:w="3512"/>
      </w:tblGrid>
      <w:tr w:rsidR="00167C1F" w:rsidRPr="004D0330" w14:paraId="5FCD334D" w14:textId="77777777" w:rsidTr="003E1C91">
        <w:trPr>
          <w:trHeight w:val="29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FCD3349" w14:textId="77777777" w:rsidR="00167C1F" w:rsidRPr="00834EA5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Title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FCD334A" w14:textId="77777777" w:rsidR="00167C1F" w:rsidRPr="00834EA5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Field 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FCD334B" w14:textId="77777777" w:rsidR="00167C1F" w:rsidRPr="00834EA5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Data type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5FCD334C" w14:textId="77777777" w:rsidR="00167C1F" w:rsidRPr="00834EA5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34EA5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167C1F" w:rsidRPr="004D0330" w14:paraId="5FCD3352" w14:textId="77777777" w:rsidTr="003E1C91">
        <w:trPr>
          <w:trHeight w:val="449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4E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4F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0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1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>Year of Discharge</w:t>
            </w:r>
          </w:p>
        </w:tc>
      </w:tr>
      <w:tr w:rsidR="00167C1F" w:rsidRPr="004D0330" w14:paraId="5FCD3357" w14:textId="77777777" w:rsidTr="003E1C91">
        <w:trPr>
          <w:trHeight w:val="44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3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4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5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6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</w:tr>
      <w:tr w:rsidR="00167C1F" w:rsidRPr="004D0330" w14:paraId="5FCD335C" w14:textId="77777777" w:rsidTr="003E1C91">
        <w:trPr>
          <w:trHeight w:val="35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8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Hospital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9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Hospital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A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B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Hospital</w:t>
            </w:r>
          </w:p>
        </w:tc>
      </w:tr>
      <w:tr w:rsidR="00167C1F" w:rsidRPr="004D0330" w14:paraId="5FCD3361" w14:textId="77777777" w:rsidTr="003E1C91">
        <w:trPr>
          <w:trHeight w:val="44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D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OSHPD ID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E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OSHPDID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5F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0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Hospital OSHPD ID</w:t>
            </w:r>
          </w:p>
        </w:tc>
      </w:tr>
      <w:tr w:rsidR="00167C1F" w:rsidRPr="004D0330" w14:paraId="5FCD3366" w14:textId="77777777" w:rsidTr="003E1C91">
        <w:trPr>
          <w:trHeight w:val="341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2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Measure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3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Measure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4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5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Outcome Measure</w:t>
            </w:r>
          </w:p>
        </w:tc>
      </w:tr>
      <w:tr w:rsidR="00167C1F" w:rsidRPr="004D0330" w14:paraId="5FCD336B" w14:textId="77777777" w:rsidTr="003E1C91">
        <w:trPr>
          <w:trHeight w:val="92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7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Risk Adjus</w:t>
            </w:r>
            <w:r w:rsidRPr="00A47163">
              <w:rPr>
                <w:rFonts w:ascii="Calibri" w:eastAsia="Times New Roman" w:hAnsi="Calibri" w:cs="Times New Roman"/>
                <w:color w:val="000000"/>
              </w:rPr>
              <w:t>ted Rate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8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Risk Adjus</w:t>
            </w:r>
            <w:r w:rsidRPr="00A47163">
              <w:rPr>
                <w:rFonts w:ascii="Calibri" w:eastAsia="Times New Roman" w:hAnsi="Calibri" w:cs="Times New Roman"/>
                <w:color w:val="000000"/>
              </w:rPr>
              <w:t>ted Rate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9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3CD">
              <w:rPr>
                <w:sz w:val="24"/>
              </w:rPr>
              <w:t>number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A" w14:textId="77777777" w:rsidR="00167C1F" w:rsidRPr="00D62A89" w:rsidRDefault="00167C1F" w:rsidP="003E1C91">
            <w:pPr>
              <w:pStyle w:val="Default"/>
              <w:rPr>
                <w:sz w:val="22"/>
                <w:szCs w:val="22"/>
              </w:rPr>
            </w:pPr>
            <w:r w:rsidRPr="00D62A89">
              <w:rPr>
                <w:rFonts w:eastAsia="Times New Roman" w:cs="Times New Roman"/>
                <w:sz w:val="22"/>
                <w:szCs w:val="22"/>
              </w:rPr>
              <w:t xml:space="preserve">Risk Adjusted 30-day Mortality/Readmission Rates presented here </w:t>
            </w:r>
            <w:r>
              <w:rPr>
                <w:rFonts w:eastAsia="Times New Roman" w:cs="Times New Roman"/>
                <w:sz w:val="22"/>
                <w:szCs w:val="22"/>
              </w:rPr>
              <w:t>adjust the observed mortality rates. This statistical methodology takes into account pre-existing health problems that put some patients at greater risk of death/readmission to “level the playing field” and allow fair comparisons across hospitals.</w:t>
            </w:r>
          </w:p>
        </w:tc>
      </w:tr>
      <w:tr w:rsidR="00167C1F" w:rsidRPr="004D0330" w14:paraId="5FCD3370" w14:textId="77777777" w:rsidTr="003E1C91">
        <w:trPr>
          <w:trHeight w:val="92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C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Number of 30-day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Deaths/</w:t>
            </w:r>
            <w:r w:rsidRPr="00A47163">
              <w:rPr>
                <w:rFonts w:ascii="Calibri" w:eastAsia="Times New Roman" w:hAnsi="Calibri" w:cs="Times New Roman"/>
                <w:color w:val="000000"/>
              </w:rPr>
              <w:t xml:space="preserve"> Readmissions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D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# of Deaths/Readmissions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E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3CD">
              <w:rPr>
                <w:sz w:val="24"/>
              </w:rPr>
              <w:t>number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6F" w14:textId="29DDCE14" w:rsidR="00167C1F" w:rsidRPr="004D0330" w:rsidRDefault="00167C1F" w:rsidP="00B97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 xml:space="preserve">Number of 30-day </w:t>
            </w:r>
            <w:r>
              <w:rPr>
                <w:rFonts w:ascii="Calibri" w:eastAsia="Times New Roman" w:hAnsi="Calibri" w:cs="Times New Roman"/>
                <w:color w:val="000000"/>
              </w:rPr>
              <w:t>Deaths/</w:t>
            </w:r>
            <w:r w:rsidRPr="001F0605">
              <w:rPr>
                <w:rFonts w:ascii="Calibri" w:eastAsia="Times New Roman" w:hAnsi="Calibri" w:cs="Times New Roman"/>
                <w:color w:val="000000"/>
              </w:rPr>
              <w:t xml:space="preserve">Readmissions in </w:t>
            </w:r>
            <w:r w:rsidR="00B9742D">
              <w:rPr>
                <w:rFonts w:ascii="Calibri" w:eastAsia="Times New Roman" w:hAnsi="Calibri" w:cs="Times New Roman"/>
                <w:color w:val="000000"/>
              </w:rPr>
              <w:t xml:space="preserve">California </w:t>
            </w:r>
            <w:r w:rsidRPr="001F0605">
              <w:rPr>
                <w:rFonts w:ascii="Calibri" w:eastAsia="Times New Roman" w:hAnsi="Calibri" w:cs="Times New Roman"/>
                <w:color w:val="000000"/>
              </w:rPr>
              <w:t>acute care hospitals</w:t>
            </w:r>
          </w:p>
        </w:tc>
      </w:tr>
      <w:tr w:rsidR="00167C1F" w:rsidRPr="004D0330" w14:paraId="5FCD3375" w14:textId="77777777" w:rsidTr="003E1C91">
        <w:trPr>
          <w:trHeight w:val="92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1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Number of Total Admissions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2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# of Cases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3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03CD">
              <w:rPr>
                <w:sz w:val="24"/>
              </w:rPr>
              <w:t>number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4" w14:textId="115D8139" w:rsidR="00167C1F" w:rsidRPr="004D0330" w:rsidRDefault="00167C1F" w:rsidP="00B974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 xml:space="preserve">Number of Total Admissions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with Ischemic Stroke </w:t>
            </w:r>
            <w:r w:rsidRPr="001F0605">
              <w:rPr>
                <w:rFonts w:ascii="Calibri" w:eastAsia="Times New Roman" w:hAnsi="Calibri" w:cs="Times New Roman"/>
                <w:color w:val="000000"/>
              </w:rPr>
              <w:t>in C</w:t>
            </w:r>
            <w:r w:rsidR="00B9742D">
              <w:rPr>
                <w:rFonts w:ascii="Calibri" w:eastAsia="Times New Roman" w:hAnsi="Calibri" w:cs="Times New Roman"/>
                <w:color w:val="000000"/>
              </w:rPr>
              <w:t>alifornia</w:t>
            </w:r>
            <w:r w:rsidRPr="001F0605">
              <w:rPr>
                <w:rFonts w:ascii="Calibri" w:eastAsia="Times New Roman" w:hAnsi="Calibri" w:cs="Times New Roman"/>
                <w:color w:val="000000"/>
              </w:rPr>
              <w:t xml:space="preserve"> acute care hospitals</w:t>
            </w:r>
          </w:p>
        </w:tc>
      </w:tr>
      <w:tr w:rsidR="00167C1F" w:rsidRPr="004D0330" w14:paraId="5FCD337A" w14:textId="77777777" w:rsidTr="003E1C91">
        <w:trPr>
          <w:trHeight w:val="92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6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Hospital Ratings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7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Hospital Ratings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8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77635">
              <w:rPr>
                <w:sz w:val="24"/>
              </w:rPr>
              <w:t>plain text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9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 xml:space="preserve">Hospital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Performance </w:t>
            </w:r>
            <w:r w:rsidRPr="001F0605">
              <w:rPr>
                <w:rFonts w:ascii="Calibri" w:eastAsia="Times New Roman" w:hAnsi="Calibri" w:cs="Times New Roman"/>
                <w:color w:val="000000"/>
              </w:rPr>
              <w:t>Ratings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based on a 98% Confidence Interval (CI). If a hospital’s upper CI is less than the statewide observed rate, it is designated as performing “better” than the average hospital. If a hospital’s lower CI is greater than the state rate, it is designated as a performing “worse” than the average state hospital.</w:t>
            </w:r>
          </w:p>
        </w:tc>
      </w:tr>
      <w:tr w:rsidR="00167C1F" w:rsidRPr="004D0330" w14:paraId="5FCD337F" w14:textId="77777777" w:rsidTr="003E1C91">
        <w:trPr>
          <w:trHeight w:val="575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B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C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D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574">
              <w:rPr>
                <w:sz w:val="24"/>
              </w:rPr>
              <w:t>number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7E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>Longitude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the hospital</w:t>
            </w:r>
          </w:p>
        </w:tc>
      </w:tr>
      <w:tr w:rsidR="00167C1F" w:rsidRPr="004D0330" w14:paraId="5FCD3384" w14:textId="77777777" w:rsidTr="003E1C91">
        <w:trPr>
          <w:trHeight w:val="620"/>
          <w:tblHeader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80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81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7163"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82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23574">
              <w:rPr>
                <w:sz w:val="24"/>
              </w:rPr>
              <w:t>number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D3383" w14:textId="77777777" w:rsidR="00167C1F" w:rsidRPr="004D0330" w:rsidRDefault="00167C1F" w:rsidP="003E1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605">
              <w:rPr>
                <w:rFonts w:ascii="Calibri" w:eastAsia="Times New Roman" w:hAnsi="Calibri" w:cs="Times New Roman"/>
                <w:color w:val="000000"/>
              </w:rPr>
              <w:t>Latitude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the hospital</w:t>
            </w:r>
          </w:p>
        </w:tc>
      </w:tr>
    </w:tbl>
    <w:p w14:paraId="5FCD3385" w14:textId="77777777" w:rsidR="00167C1F" w:rsidRDefault="00167C1F" w:rsidP="00167C1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</w:rPr>
      </w:pPr>
    </w:p>
    <w:p w14:paraId="5FCD3386" w14:textId="77777777" w:rsidR="00167C1F" w:rsidRDefault="00167C1F"/>
    <w:sectPr w:rsidR="0016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5BD5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palka, Anna@OSHPD">
    <w15:presenceInfo w15:providerId="AD" w15:userId="S-1-5-21-789336058-583907252-839522115-31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1F"/>
    <w:rsid w:val="00102E8E"/>
    <w:rsid w:val="00167C1F"/>
    <w:rsid w:val="003F2177"/>
    <w:rsid w:val="00B20476"/>
    <w:rsid w:val="00B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3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1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C1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1F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0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47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476"/>
    <w:rPr>
      <w:rFonts w:eastAsiaTheme="minorHAns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C1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7C1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1F"/>
    <w:rPr>
      <w:rFonts w:ascii="Tahoma" w:eastAsiaTheme="minorHAnsi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20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0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047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0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0476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9C2B613235421E893FC793D5052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F1276-DD48-456F-A1F2-24678749DF48}"/>
      </w:docPartPr>
      <w:docPartBody>
        <w:p w14:paraId="049322E5" w14:textId="77777777" w:rsidR="00017207" w:rsidRDefault="00812D6C" w:rsidP="00812D6C">
          <w:pPr>
            <w:pStyle w:val="319C2B613235421E893FC793D50527F0"/>
          </w:pPr>
          <w:r w:rsidRPr="002777F4">
            <w:rPr>
              <w:rStyle w:val="PlaceholderText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6C"/>
    <w:rsid w:val="00017207"/>
    <w:rsid w:val="0081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22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D6C"/>
    <w:rPr>
      <w:color w:val="808080"/>
    </w:rPr>
  </w:style>
  <w:style w:type="paragraph" w:customStyle="1" w:styleId="319C2B613235421E893FC793D50527F0">
    <w:name w:val="319C2B613235421E893FC793D50527F0"/>
    <w:rsid w:val="00812D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D6C"/>
    <w:rPr>
      <w:color w:val="808080"/>
    </w:rPr>
  </w:style>
  <w:style w:type="paragraph" w:customStyle="1" w:styleId="319C2B613235421E893FC793D50527F0">
    <w:name w:val="319C2B613235421E893FC793D50527F0"/>
    <w:rsid w:val="00812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FCD6259512742A45D9C11F1A53166" ma:contentTypeVersion="0" ma:contentTypeDescription="Create a new document." ma:contentTypeScope="" ma:versionID="7f8488de5ce0ae5b87c2098f2a4aae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D83E91-249F-4620-A507-A6F39A7C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A1D40-EE1E-4D25-80DF-6456D2EF0984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80B5070-D3F2-43AE-A212-6D71BE02ED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Limin@OSHPD</dc:creator>
  <cp:lastModifiedBy>Wang, Limin@OSHPD</cp:lastModifiedBy>
  <cp:revision>2</cp:revision>
  <dcterms:created xsi:type="dcterms:W3CDTF">2015-05-11T15:11:00Z</dcterms:created>
  <dcterms:modified xsi:type="dcterms:W3CDTF">2015-05-11T15:11:00Z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0x010100B73FCD6259512742A45D9C11F1A53166</vt:lpwstr>
  </property>
</Properties>
</file>