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Writeup</w:t>
      </w:r>
      <w:r>
        <w:t xml:space="preserve"> </w:t>
      </w:r>
      <w:r>
        <w:t xml:space="preserve">For</w:t>
      </w:r>
      <w:r>
        <w:t xml:space="preserve"> </w:t>
      </w:r>
      <w:r>
        <w:t xml:space="preserve">DataFest</w:t>
      </w:r>
    </w:p>
    <w:p>
      <w:pPr>
        <w:pStyle w:val="Author"/>
      </w:pPr>
      <w:r>
        <w:t xml:space="preserve">Jonas</w:t>
      </w:r>
    </w:p>
    <w:p>
      <w:pPr>
        <w:pStyle w:val="Date"/>
      </w:pPr>
      <w:r>
        <w:t xml:space="preserve">13/06/2020</w:t>
      </w:r>
    </w:p>
    <w:p>
      <w:pPr>
        <w:pStyle w:val="FirstParagraph"/>
      </w:pPr>
      <w:r>
        <w:t xml:space="preserve">####The Statistically Analysis regarding the number of Occupants in GTA shelters during the COVID-19 lockdown</w:t>
      </w:r>
    </w:p>
    <w:p>
      <w:pPr>
        <w:pStyle w:val="BodyText"/>
      </w:pPr>
      <w:r>
        <w:t xml:space="preserve">#</w:t>
      </w:r>
      <m:oMath>
        <m:limLow>
          <m:e>
            <m:r>
              <m:t>O</m:t>
            </m:r>
            <m:r>
              <m:t>v</m:t>
            </m:r>
            <m:r>
              <m:t>e</m:t>
            </m:r>
            <m:r>
              <m:t>r</m:t>
            </m:r>
            <m:r>
              <m:t>V</m:t>
            </m:r>
            <m:r>
              <m:t>i</m:t>
            </m:r>
            <m:r>
              <m:t>e</m:t>
            </m:r>
            <m:r>
              <m:t>w</m:t>
            </m:r>
          </m:e>
          <m:lim>
            <m:r>
              <m:t>̲</m:t>
            </m:r>
          </m:lim>
        </m:limLow>
      </m:oMath>
    </w:p>
    <w:p>
      <w:pPr>
        <w:pStyle w:val="BodyText"/>
      </w:pPr>
      <w:r>
        <w:t xml:space="preserve">For our project we decided to focus on the issue regarding whether there was a change in the number of people using the GTA shelters between March 17, 2020 and June 8, 2020.</w:t>
      </w:r>
    </w:p>
    <w:p>
      <w:pPr>
        <w:pStyle w:val="BodyText"/>
      </w:pPr>
      <w:r>
        <w:t xml:space="preserve">To help us analyze this issue we first gathered the daily data about the shelters listed in the GTA, that are publicaly avaibale here:</w:t>
      </w:r>
      <w:r>
        <w:t xml:space="preserve">“</w:t>
      </w:r>
      <w:hyperlink r:id="rId20">
        <w:r>
          <w:rPr>
            <w:rStyle w:val="Hyperlink"/>
          </w:rPr>
          <w:t xml:space="preserve">https://open.toronto.ca/dataset/daily-shelter-occupancy/</w:t>
        </w:r>
      </w:hyperlink>
      <w:r>
        <w:t xml:space="preserve">”</w:t>
      </w:r>
      <w:r>
        <w:t xml:space="preserve">. An appropiate possion regression model waas made to fit the data. And from the model we were able to determine that there was either an uniform or decrease in the number of people that stayed in the GTA shelters during the time period.</w:t>
      </w:r>
    </w:p>
    <w:p>
      <w:pPr>
        <w:pStyle w:val="BodyText"/>
      </w:pPr>
      <w:r>
        <w:t xml:space="preserve">#</w:t>
      </w:r>
      <m:oMath>
        <m:limLow>
          <m:e>
            <m:r>
              <m:t>D</m:t>
            </m:r>
            <m:r>
              <m:t>e</m:t>
            </m:r>
            <m:r>
              <m:t>s</m:t>
            </m:r>
            <m:r>
              <m:t>c</m:t>
            </m:r>
            <m:r>
              <m:t>r</m:t>
            </m:r>
            <m:r>
              <m:t>i</m:t>
            </m:r>
            <m:r>
              <m:t>p</m:t>
            </m:r>
            <m:r>
              <m:t>t</m:t>
            </m:r>
            <m:r>
              <m:t>i</m:t>
            </m:r>
            <m:r>
              <m:t>v</m:t>
            </m:r>
            <m:r>
              <m:t>e</m:t>
            </m:r>
            <m:r>
              <m:t>S</m:t>
            </m:r>
            <m:r>
              <m:t>u</m:t>
            </m:r>
            <m:r>
              <m:t>m</m:t>
            </m:r>
            <m:r>
              <m:t>m</m:t>
            </m:r>
            <m:r>
              <m:t>a</m:t>
            </m:r>
            <m:r>
              <m:t>r</m:t>
            </m:r>
            <m:r>
              <m:t>y</m:t>
            </m:r>
            <m:r>
              <m:t>S</m:t>
            </m:r>
            <m:r>
              <m:t>t</m:t>
            </m:r>
            <m:r>
              <m:t>a</m:t>
            </m:r>
            <m:r>
              <m:t>t</m:t>
            </m:r>
            <m:r>
              <m:t>i</m:t>
            </m:r>
            <m:r>
              <m:t>s</m:t>
            </m:r>
            <m:r>
              <m:t>t</m:t>
            </m:r>
            <m:r>
              <m:t>i</m:t>
            </m:r>
            <m:r>
              <m:t>c</m:t>
            </m:r>
            <m:r>
              <m:t>s</m:t>
            </m:r>
            <m:r>
              <m:t>O</m:t>
            </m:r>
            <m:r>
              <m:t>f</m:t>
            </m:r>
            <m:r>
              <m:t>O</m:t>
            </m:r>
            <m:r>
              <m:t>c</m:t>
            </m:r>
            <m:r>
              <m:t>c</m:t>
            </m:r>
            <m:r>
              <m:t>u</m:t>
            </m:r>
            <m:r>
              <m:t>p</m:t>
            </m:r>
            <m:r>
              <m:t>a</m:t>
            </m:r>
            <m:r>
              <m:t>n</m:t>
            </m:r>
            <m:r>
              <m:t>c</m:t>
            </m:r>
            <m:r>
              <m:t>y</m:t>
            </m:r>
          </m:e>
          <m:lim>
            <m:r>
              <m:t>̲</m:t>
            </m:r>
          </m:lim>
        </m:limLow>
      </m:oMath>
    </w:p>
    <w:tbl>
      <w:tblPr>
        <w:tblStyle w:val="Table"/>
        <w:tblW w:type="pct" w:w="0.0"/>
        <w:tblLook w:firstRow="1"/>
      </w:tblPr>
      <w:tblGrid/>
      <w:tr>
        <w:trPr>
          <w:cnfStyle w:firstRow="1"/>
        </w:trPr>
        <w:tc>
          <w:tcPr>
            <w:tcBorders>
              <w:bottom w:val="single"/>
            </w:tcBorders>
            <w:vAlign w:val="bottom"/>
          </w:tcPr>
          <w:p>
            <w:pPr>
              <w:pStyle w:val="Compact"/>
              <w:jc w:val="left"/>
            </w:pPr>
            <m:oMath>
              <m:r>
                <m:t>S</m:t>
              </m:r>
              <m:r>
                <m:t>e</m:t>
              </m:r>
              <m:r>
                <m:t>c</m:t>
              </m:r>
              <m:r>
                <m:t>t</m:t>
              </m:r>
              <m:r>
                <m:t>o</m:t>
              </m:r>
              <m:r>
                <m:t>r</m:t>
              </m:r>
            </m:oMath>
          </w:p>
        </w:tc>
        <w:tc>
          <w:tcPr>
            <w:tcBorders>
              <w:bottom w:val="single"/>
            </w:tcBorders>
            <w:vAlign w:val="bottom"/>
          </w:tcPr>
          <w:p>
            <w:pPr>
              <w:pStyle w:val="Compact"/>
              <w:jc w:val="left"/>
            </w:pPr>
            <m:oMath>
              <m:r>
                <m:t>M</m:t>
              </m:r>
              <m:r>
                <m:t>e</m:t>
              </m:r>
              <m:r>
                <m:t>a</m:t>
              </m:r>
              <m:r>
                <m:t>n</m:t>
              </m:r>
            </m:oMath>
          </w:p>
        </w:tc>
        <w:tc>
          <w:tcPr>
            <w:tcBorders>
              <w:bottom w:val="single"/>
            </w:tcBorders>
            <w:vAlign w:val="bottom"/>
          </w:tcPr>
          <w:p>
            <w:pPr>
              <w:pStyle w:val="Compact"/>
              <w:jc w:val="left"/>
            </w:pPr>
            <m:oMath>
              <m:r>
                <m:t>σ</m:t>
              </m:r>
            </m:oMath>
          </w:p>
        </w:tc>
        <w:tc>
          <w:tcPr>
            <w:tcBorders>
              <w:bottom w:val="single"/>
            </w:tcBorders>
            <w:vAlign w:val="bottom"/>
          </w:tcPr>
          <w:p>
            <w:pPr>
              <w:pStyle w:val="Compact"/>
              <w:jc w:val="left"/>
            </w:pPr>
            <m:oMath>
              <m:r>
                <m:t>Q</m:t>
              </m:r>
              <m:r>
                <m:t>1</m:t>
              </m:r>
            </m:oMath>
          </w:p>
        </w:tc>
        <w:tc>
          <w:tcPr>
            <w:tcBorders>
              <w:bottom w:val="single"/>
            </w:tcBorders>
            <w:vAlign w:val="bottom"/>
          </w:tcPr>
          <w:p>
            <w:pPr>
              <w:pStyle w:val="Compact"/>
              <w:jc w:val="left"/>
            </w:pPr>
            <m:oMath>
              <m:r>
                <m:t>M</m:t>
              </m:r>
              <m:r>
                <m:t>e</m:t>
              </m:r>
              <m:r>
                <m:t>d</m:t>
              </m:r>
              <m:r>
                <m:t>i</m:t>
              </m:r>
              <m:r>
                <m:t>a</m:t>
              </m:r>
              <m:r>
                <m:t>n</m:t>
              </m:r>
            </m:oMath>
          </w:p>
        </w:tc>
        <w:tc>
          <w:tcPr>
            <w:tcBorders>
              <w:bottom w:val="single"/>
            </w:tcBorders>
            <w:vAlign w:val="bottom"/>
          </w:tcPr>
          <w:p>
            <w:pPr>
              <w:pStyle w:val="Compact"/>
              <w:jc w:val="left"/>
            </w:pPr>
            <m:oMath>
              <m:r>
                <m:t>Q</m:t>
              </m:r>
              <m:r>
                <m:t>3</m:t>
              </m:r>
            </m:oMath>
          </w:p>
        </w:tc>
        <w:tc>
          <w:tcPr>
            <w:tcBorders>
              <w:bottom w:val="single"/>
            </w:tcBorders>
            <w:vAlign w:val="bottom"/>
          </w:tcPr>
          <w:p>
            <w:pPr>
              <w:pStyle w:val="Compact"/>
              <w:jc w:val="left"/>
            </w:pPr>
            <m:oMath>
              <m:r>
                <m:t>M</m:t>
              </m:r>
              <m:r>
                <m:t>i</m:t>
              </m:r>
              <m:r>
                <m:t>n</m:t>
              </m:r>
            </m:oMath>
          </w:p>
        </w:tc>
        <w:tc>
          <w:tcPr>
            <w:tcBorders>
              <w:bottom w:val="single"/>
            </w:tcBorders>
            <w:vAlign w:val="bottom"/>
          </w:tcPr>
          <w:p>
            <w:pPr>
              <w:pStyle w:val="Compact"/>
              <w:jc w:val="left"/>
            </w:pPr>
            <m:oMath>
              <m:r>
                <m:t>M</m:t>
              </m:r>
              <m:r>
                <m:t>a</m:t>
              </m:r>
              <m:r>
                <m:t>x</m:t>
              </m:r>
            </m:oMath>
          </w:p>
        </w:tc>
        <w:tc>
          <w:tcPr>
            <w:tcBorders>
              <w:bottom w:val="single"/>
            </w:tcBorders>
            <w:vAlign w:val="bottom"/>
          </w:tcPr>
          <w:p>
            <w:pPr>
              <w:pStyle w:val="Compact"/>
              <w:jc w:val="left"/>
            </w:pPr>
            <m:oMath>
              <m:r>
                <m:t>I</m:t>
              </m:r>
              <m:r>
                <m:t>Q</m:t>
              </m:r>
              <m:r>
                <m:t>R</m:t>
              </m:r>
            </m:oMath>
          </w:p>
        </w:tc>
      </w:tr>
      <w:tr>
        <w:tc>
          <w:p>
            <w:pPr>
              <w:pStyle w:val="Compact"/>
              <w:jc w:val="left"/>
            </w:pPr>
            <w:r>
              <w:t xml:space="preserve">Total</w:t>
            </w:r>
          </w:p>
        </w:tc>
        <w:tc>
          <w:p>
            <w:pPr>
              <w:pStyle w:val="Compact"/>
              <w:jc w:val="left"/>
            </w:pPr>
            <w:r>
              <w:t xml:space="preserve">47.04</w:t>
            </w:r>
          </w:p>
        </w:tc>
        <w:tc>
          <w:p>
            <w:pPr>
              <w:pStyle w:val="Compact"/>
              <w:jc w:val="left"/>
            </w:pPr>
            <w:r>
              <w:t xml:space="preserve">74.72</w:t>
            </w:r>
          </w:p>
        </w:tc>
        <w:tc>
          <w:p>
            <w:pPr>
              <w:pStyle w:val="Compact"/>
              <w:jc w:val="left"/>
            </w:pPr>
            <w:r>
              <w:t xml:space="preserve">10.00</w:t>
            </w:r>
          </w:p>
        </w:tc>
        <w:tc>
          <w:p>
            <w:pPr>
              <w:pStyle w:val="Compact"/>
              <w:jc w:val="left"/>
            </w:pPr>
            <w:r>
              <w:t xml:space="preserve">28.00</w:t>
            </w:r>
          </w:p>
        </w:tc>
        <w:tc>
          <w:p>
            <w:pPr>
              <w:pStyle w:val="Compact"/>
              <w:jc w:val="left"/>
            </w:pPr>
            <w:r>
              <w:t xml:space="preserve">56.00</w:t>
            </w:r>
          </w:p>
        </w:tc>
        <w:tc>
          <w:p>
            <w:pPr>
              <w:pStyle w:val="Compact"/>
              <w:jc w:val="left"/>
            </w:pPr>
            <w:r>
              <w:t xml:space="preserve">0.00</w:t>
            </w:r>
          </w:p>
        </w:tc>
        <w:tc>
          <w:p>
            <w:pPr>
              <w:pStyle w:val="Compact"/>
              <w:jc w:val="left"/>
            </w:pPr>
            <w:r>
              <w:t xml:space="preserve">700.00</w:t>
            </w:r>
          </w:p>
        </w:tc>
        <w:tc>
          <w:p>
            <w:pPr>
              <w:pStyle w:val="Compact"/>
              <w:jc w:val="left"/>
            </w:pPr>
            <w:r>
              <w:t xml:space="preserve">5</w:t>
            </w:r>
          </w:p>
        </w:tc>
      </w:tr>
      <w:tr>
        <w:tc>
          <w:p>
            <w:pPr>
              <w:pStyle w:val="Compact"/>
              <w:jc w:val="left"/>
            </w:pPr>
            <w:r>
              <w:t xml:space="preserve">Men</w:t>
            </w:r>
          </w:p>
        </w:tc>
        <w:tc>
          <w:p>
            <w:pPr>
              <w:pStyle w:val="Compact"/>
              <w:jc w:val="left"/>
            </w:pPr>
            <w:r>
              <w:t xml:space="preserve">39.16</w:t>
            </w:r>
          </w:p>
        </w:tc>
        <w:tc>
          <w:p>
            <w:pPr>
              <w:pStyle w:val="Compact"/>
              <w:jc w:val="left"/>
            </w:pPr>
            <w:r>
              <w:t xml:space="preserve">42.15</w:t>
            </w:r>
          </w:p>
        </w:tc>
        <w:tc>
          <w:p>
            <w:pPr>
              <w:pStyle w:val="Compact"/>
              <w:jc w:val="left"/>
            </w:pPr>
            <w:r>
              <w:t xml:space="preserve">12.00</w:t>
            </w:r>
          </w:p>
        </w:tc>
        <w:tc>
          <w:p>
            <w:pPr>
              <w:pStyle w:val="Compact"/>
              <w:jc w:val="left"/>
            </w:pPr>
            <w:r>
              <w:t xml:space="preserve">28.00</w:t>
            </w:r>
          </w:p>
        </w:tc>
        <w:tc>
          <w:p>
            <w:pPr>
              <w:pStyle w:val="Compact"/>
              <w:jc w:val="left"/>
            </w:pPr>
            <w:r>
              <w:t xml:space="preserve">58.00</w:t>
            </w:r>
          </w:p>
        </w:tc>
        <w:tc>
          <w:p>
            <w:pPr>
              <w:pStyle w:val="Compact"/>
              <w:jc w:val="left"/>
            </w:pPr>
            <w:r>
              <w:t xml:space="preserve">0.00</w:t>
            </w:r>
          </w:p>
        </w:tc>
        <w:tc>
          <w:p>
            <w:pPr>
              <w:pStyle w:val="Compact"/>
              <w:jc w:val="left"/>
            </w:pPr>
            <w:r>
              <w:t xml:space="preserve">290.00</w:t>
            </w:r>
          </w:p>
        </w:tc>
        <w:tc>
          <w:p>
            <w:pPr>
              <w:pStyle w:val="Compact"/>
              <w:jc w:val="left"/>
            </w:pPr>
            <w:r>
              <w:t xml:space="preserve">5</w:t>
            </w:r>
          </w:p>
        </w:tc>
      </w:tr>
      <w:tr>
        <w:tc>
          <w:p>
            <w:pPr>
              <w:pStyle w:val="Compact"/>
              <w:jc w:val="left"/>
            </w:pPr>
            <w:r>
              <w:t xml:space="preserve">Women</w:t>
            </w:r>
          </w:p>
        </w:tc>
        <w:tc>
          <w:p>
            <w:pPr>
              <w:pStyle w:val="Compact"/>
              <w:jc w:val="left"/>
            </w:pPr>
            <w:r>
              <w:t xml:space="preserve">27.40</w:t>
            </w:r>
          </w:p>
        </w:tc>
        <w:tc>
          <w:p>
            <w:pPr>
              <w:pStyle w:val="Compact"/>
              <w:jc w:val="left"/>
            </w:pPr>
            <w:r>
              <w:t xml:space="preserve">28.65</w:t>
            </w:r>
          </w:p>
        </w:tc>
        <w:tc>
          <w:p>
            <w:pPr>
              <w:pStyle w:val="Compact"/>
              <w:jc w:val="left"/>
            </w:pPr>
            <w:r>
              <w:t xml:space="preserve">4.00</w:t>
            </w:r>
          </w:p>
        </w:tc>
        <w:tc>
          <w:p>
            <w:pPr>
              <w:pStyle w:val="Compact"/>
              <w:jc w:val="left"/>
            </w:pPr>
            <w:r>
              <w:t xml:space="preserve">21.00</w:t>
            </w:r>
          </w:p>
        </w:tc>
        <w:tc>
          <w:p>
            <w:pPr>
              <w:pStyle w:val="Compact"/>
              <w:jc w:val="left"/>
            </w:pPr>
            <w:r>
              <w:t xml:space="preserve">38.00</w:t>
            </w:r>
          </w:p>
        </w:tc>
        <w:tc>
          <w:p>
            <w:pPr>
              <w:pStyle w:val="Compact"/>
              <w:jc w:val="left"/>
            </w:pPr>
            <w:r>
              <w:t xml:space="preserve">0.00</w:t>
            </w:r>
          </w:p>
        </w:tc>
        <w:tc>
          <w:p>
            <w:pPr>
              <w:pStyle w:val="Compact"/>
              <w:jc w:val="left"/>
            </w:pPr>
            <w:r>
              <w:t xml:space="preserve">166.00</w:t>
            </w:r>
          </w:p>
        </w:tc>
        <w:tc>
          <w:p>
            <w:pPr>
              <w:pStyle w:val="Compact"/>
              <w:jc w:val="left"/>
            </w:pPr>
            <w:r>
              <w:t xml:space="preserve">5</w:t>
            </w:r>
          </w:p>
        </w:tc>
      </w:tr>
      <w:tr>
        <w:tc>
          <w:p>
            <w:pPr>
              <w:pStyle w:val="Compact"/>
              <w:jc w:val="left"/>
            </w:pPr>
            <w:r>
              <w:t xml:space="preserve">Co-ed</w:t>
            </w:r>
          </w:p>
        </w:tc>
        <w:tc>
          <w:p>
            <w:pPr>
              <w:pStyle w:val="Compact"/>
              <w:jc w:val="left"/>
            </w:pPr>
            <w:r>
              <w:t xml:space="preserve">39.52</w:t>
            </w:r>
          </w:p>
        </w:tc>
        <w:tc>
          <w:p>
            <w:pPr>
              <w:pStyle w:val="Compact"/>
              <w:jc w:val="left"/>
            </w:pPr>
            <w:r>
              <w:t xml:space="preserve">36.44</w:t>
            </w:r>
          </w:p>
        </w:tc>
        <w:tc>
          <w:p>
            <w:pPr>
              <w:pStyle w:val="Compact"/>
              <w:jc w:val="left"/>
            </w:pPr>
            <w:r>
              <w:t xml:space="preserve">10.00</w:t>
            </w:r>
          </w:p>
        </w:tc>
        <w:tc>
          <w:p>
            <w:pPr>
              <w:pStyle w:val="Compact"/>
              <w:jc w:val="left"/>
            </w:pPr>
            <w:r>
              <w:t xml:space="preserve">33.00</w:t>
            </w:r>
          </w:p>
        </w:tc>
        <w:tc>
          <w:p>
            <w:pPr>
              <w:pStyle w:val="Compact"/>
              <w:jc w:val="left"/>
            </w:pPr>
            <w:r>
              <w:t xml:space="preserve">70.00</w:t>
            </w:r>
          </w:p>
        </w:tc>
        <w:tc>
          <w:p>
            <w:pPr>
              <w:pStyle w:val="Compact"/>
              <w:jc w:val="left"/>
            </w:pPr>
            <w:r>
              <w:t xml:space="preserve">0.00</w:t>
            </w:r>
          </w:p>
        </w:tc>
        <w:tc>
          <w:p>
            <w:pPr>
              <w:pStyle w:val="Compact"/>
              <w:jc w:val="left"/>
            </w:pPr>
            <w:r>
              <w:t xml:space="preserve">178.00</w:t>
            </w:r>
          </w:p>
        </w:tc>
        <w:tc>
          <w:p>
            <w:pPr>
              <w:pStyle w:val="Compact"/>
              <w:jc w:val="left"/>
            </w:pPr>
            <w:r>
              <w:t xml:space="preserve">5</w:t>
            </w:r>
          </w:p>
        </w:tc>
      </w:tr>
      <w:tr>
        <w:tc>
          <w:p>
            <w:pPr>
              <w:pStyle w:val="Compact"/>
              <w:jc w:val="left"/>
            </w:pPr>
            <w:r>
              <w:t xml:space="preserve">Families</w:t>
            </w:r>
          </w:p>
        </w:tc>
        <w:tc>
          <w:p>
            <w:pPr>
              <w:pStyle w:val="Compact"/>
              <w:jc w:val="left"/>
            </w:pPr>
            <w:r>
              <w:t xml:space="preserve">119.40</w:t>
            </w:r>
          </w:p>
        </w:tc>
        <w:tc>
          <w:p>
            <w:pPr>
              <w:pStyle w:val="Compact"/>
              <w:jc w:val="left"/>
            </w:pPr>
            <w:r>
              <w:t xml:space="preserve">150.99</w:t>
            </w:r>
          </w:p>
        </w:tc>
        <w:tc>
          <w:p>
            <w:pPr>
              <w:pStyle w:val="Compact"/>
              <w:jc w:val="left"/>
            </w:pPr>
            <w:r>
              <w:t xml:space="preserve">25.00</w:t>
            </w:r>
          </w:p>
        </w:tc>
        <w:tc>
          <w:p>
            <w:pPr>
              <w:pStyle w:val="Compact"/>
              <w:jc w:val="left"/>
            </w:pPr>
            <w:r>
              <w:t xml:space="preserve">72.00</w:t>
            </w:r>
          </w:p>
        </w:tc>
        <w:tc>
          <w:p>
            <w:pPr>
              <w:pStyle w:val="Compact"/>
              <w:jc w:val="left"/>
            </w:pPr>
            <w:r>
              <w:t xml:space="preserve">143.0</w:t>
            </w:r>
          </w:p>
        </w:tc>
        <w:tc>
          <w:p>
            <w:pPr>
              <w:pStyle w:val="Compact"/>
              <w:jc w:val="left"/>
            </w:pPr>
            <w:r>
              <w:t xml:space="preserve">0.00</w:t>
            </w:r>
          </w:p>
        </w:tc>
        <w:tc>
          <w:p>
            <w:pPr>
              <w:pStyle w:val="Compact"/>
              <w:jc w:val="left"/>
            </w:pPr>
            <w:r>
              <w:t xml:space="preserve">700.00</w:t>
            </w:r>
          </w:p>
        </w:tc>
        <w:tc>
          <w:p>
            <w:pPr>
              <w:pStyle w:val="Compact"/>
              <w:jc w:val="left"/>
            </w:pPr>
            <w:r>
              <w:t xml:space="preserve">5</w:t>
            </w:r>
          </w:p>
        </w:tc>
      </w:tr>
      <w:tr>
        <w:tc>
          <w:p>
            <w:pPr>
              <w:pStyle w:val="Compact"/>
              <w:jc w:val="left"/>
            </w:pPr>
            <w:r>
              <w:t xml:space="preserve">Youth</w:t>
            </w:r>
          </w:p>
        </w:tc>
        <w:tc>
          <w:p>
            <w:pPr>
              <w:pStyle w:val="Compact"/>
              <w:jc w:val="left"/>
            </w:pPr>
            <w:r>
              <w:t xml:space="preserve">24.44</w:t>
            </w:r>
          </w:p>
        </w:tc>
        <w:tc>
          <w:p>
            <w:pPr>
              <w:pStyle w:val="Compact"/>
              <w:jc w:val="left"/>
            </w:pPr>
            <w:r>
              <w:t xml:space="preserve">18.57</w:t>
            </w:r>
          </w:p>
        </w:tc>
        <w:tc>
          <w:p>
            <w:pPr>
              <w:pStyle w:val="Compact"/>
              <w:jc w:val="left"/>
            </w:pPr>
            <w:r>
              <w:t xml:space="preserve">11.00</w:t>
            </w:r>
          </w:p>
        </w:tc>
        <w:tc>
          <w:p>
            <w:pPr>
              <w:pStyle w:val="Compact"/>
              <w:jc w:val="left"/>
            </w:pPr>
            <w:r>
              <w:t xml:space="preserve">22.00</w:t>
            </w:r>
          </w:p>
        </w:tc>
        <w:tc>
          <w:p>
            <w:pPr>
              <w:pStyle w:val="Compact"/>
              <w:jc w:val="left"/>
            </w:pPr>
            <w:r>
              <w:t xml:space="preserve">32.00</w:t>
            </w:r>
          </w:p>
        </w:tc>
        <w:tc>
          <w:p>
            <w:pPr>
              <w:pStyle w:val="Compact"/>
              <w:jc w:val="left"/>
            </w:pPr>
            <w:r>
              <w:t xml:space="preserve">0.00</w:t>
            </w:r>
          </w:p>
        </w:tc>
        <w:tc>
          <w:p>
            <w:pPr>
              <w:pStyle w:val="Compact"/>
              <w:jc w:val="left"/>
            </w:pPr>
            <w:r>
              <w:t xml:space="preserve">95.00</w:t>
            </w:r>
          </w:p>
        </w:tc>
        <w:tc>
          <w:p>
            <w:pPr>
              <w:pStyle w:val="Compact"/>
              <w:jc w:val="left"/>
            </w:pPr>
            <w:r>
              <w:t xml:space="preserve">5</w:t>
            </w:r>
          </w:p>
        </w:tc>
      </w:tr>
    </w:tbl>
    <w:p>
      <w:pPr>
        <w:pStyle w:val="BodyText"/>
      </w:pPr>
      <w:r>
        <w:t xml:space="preserve">####</w:t>
      </w:r>
      <m:oMath>
        <m:limLow>
          <m:e>
            <m:r>
              <m:t>S</m:t>
            </m:r>
            <m:r>
              <m:t>u</m:t>
            </m:r>
            <m:r>
              <m:t>m</m:t>
            </m:r>
            <m:r>
              <m:t>m</m:t>
            </m:r>
            <m:r>
              <m:t>a</m:t>
            </m:r>
            <m:r>
              <m:t>r</m:t>
            </m:r>
            <m:r>
              <m:t>i</m:t>
            </m:r>
            <m:r>
              <m:t>z</m:t>
            </m:r>
            <m:r>
              <m:t>i</m:t>
            </m:r>
            <m:r>
              <m:t>n</m:t>
            </m:r>
            <m:r>
              <m:t>g</m:t>
            </m:r>
            <m:r>
              <m:t>S</m:t>
            </m:r>
            <m:r>
              <m:t>t</m:t>
            </m:r>
            <m:r>
              <m:t>a</m:t>
            </m:r>
            <m:r>
              <m:t>t</m:t>
            </m:r>
            <m:r>
              <m:t>i</m:t>
            </m:r>
            <m:r>
              <m:t>s</m:t>
            </m:r>
            <m:r>
              <m:t>t</m:t>
            </m:r>
            <m:r>
              <m:t>i</m:t>
            </m:r>
            <m:r>
              <m:t>c</m:t>
            </m:r>
            <m:r>
              <m:t>a</m:t>
            </m:r>
            <m:r>
              <m:t>l</m:t>
            </m:r>
            <m:r>
              <m:t>T</m:t>
            </m:r>
            <m:r>
              <m:t>e</m:t>
            </m:r>
            <m:r>
              <m:t>s</m:t>
            </m:r>
            <m:r>
              <m:t>t</m:t>
            </m:r>
            <m:r>
              <m:t>O</m:t>
            </m:r>
            <m:r>
              <m:t>u</m:t>
            </m:r>
            <m:r>
              <m:t>t</m:t>
            </m:r>
            <m:r>
              <m:t>c</m:t>
            </m:r>
            <m:r>
              <m:t>o</m:t>
            </m:r>
            <m:r>
              <m:t>m</m:t>
            </m:r>
            <m:r>
              <m:t>e</m:t>
            </m:r>
            <m:r>
              <m:t>s</m:t>
            </m:r>
            <m:r>
              <m:t>:</m:t>
            </m:r>
          </m:e>
          <m:lim>
            <m:r>
              <m:t>̲</m:t>
            </m:r>
          </m:lim>
        </m:limLow>
      </m:oMath>
    </w:p>
    <w:p>
      <w:pPr>
        <w:pStyle w:val="BodyText"/>
      </w:pPr>
      <w:r>
        <w:drawing>
          <wp:inline>
            <wp:extent cx="4620126" cy="3696101"/>
            <wp:effectExtent b="0" l="0" r="0" t="0"/>
            <wp:docPr descr="" title="" id="1" name="Picture"/>
            <a:graphic>
              <a:graphicData uri="http://schemas.openxmlformats.org/drawingml/2006/picture">
                <pic:pic>
                  <pic:nvPicPr>
                    <pic:cNvPr descr="DataFest-Write-Up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purpose of our project we assumed a signifigance level</w:t>
      </w:r>
      <w:r>
        <w:t xml:space="preserve"> </w:t>
      </w:r>
      <m:oMath>
        <m:r>
          <m:t>a</m:t>
        </m:r>
        <m:r>
          <m:t>l</m:t>
        </m:r>
        <m:r>
          <m:t>p</m:t>
        </m:r>
        <m:r>
          <m:t>h</m:t>
        </m:r>
        <m:r>
          <m:t>a</m:t>
        </m:r>
      </m:oMath>
      <w:r>
        <w:t xml:space="preserve">=0.05. From the plot it can be seen that the shelters had a decrease in the number of occupants using their shelter, or there were some slight dips but followed a unfiform distribution.</w:t>
      </w:r>
    </w:p>
    <w:p>
      <w:pPr>
        <w:pStyle w:val="BodyText"/>
      </w:pPr>
      <w:r>
        <w:t xml:space="preserve">#TRYING STUFF OUT:</w:t>
      </w:r>
    </w:p>
    <w:p>
      <w:pPr>
        <w:pStyle w:val="BodyText"/>
      </w:pPr>
      <w:r>
        <w:t xml:space="preserve">Therefore in conclusion we can see that that there is a singificant drop in the number of occupants in the shelters as COVID-19 progressed. Additionally from the plot(shelterModel3$y) it can be seen that there is a downwards trend. Finally when computing the AIC model it can be seen that the same predictors are used, hence confirming that the predictors are statistically significant.</w:t>
      </w:r>
    </w:p>
    <w:p>
      <w:pPr>
        <w:pStyle w:val="BodyText"/>
      </w:pPr>
      <w:r>
        <w:t xml:space="preserve">This is where I show the model I use as well as the results from the model. It is also where I talk about the signifigance of the p-values and why they were used to justify their use for the model (maybe get rid of that part?),</w:t>
      </w:r>
      <w:r>
        <w:t xml:space="preserve"> </w:t>
      </w:r>
      <w:r>
        <w:t xml:space="preserve">comparing t-tests</w:t>
      </w:r>
      <w:r>
        <w:t xml:space="preserve"> </w:t>
      </w:r>
      <w:r>
        <w:t xml:space="preserve">ANOVA</w:t>
      </w:r>
      <w:r>
        <w:t xml:space="preserve"> </w:t>
      </w:r>
      <w:r>
        <w:t xml:space="preserve">summarizing correlation and Regression Analyses</w:t>
      </w:r>
    </w:p>
    <w:p>
      <w:pPr>
        <w:pStyle w:val="BodyText"/>
      </w:pPr>
      <w:r>
        <w:t xml:space="preserve">POINT 331 MAY BE A LEVERAGE POINT (OR MAYBE AN INFLUENTIAL POINT)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open.toronto.ca/dataset/daily-shelter-occupancy/"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toronto.ca/dataset/daily-shelter-occupa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 For DataFest</dc:title>
  <dc:creator>Jonas</dc:creator>
  <cp:keywords/>
  <dcterms:created xsi:type="dcterms:W3CDTF">2020-06-14T19:42:39Z</dcterms:created>
  <dcterms:modified xsi:type="dcterms:W3CDTF">2020-06-14T19:42:39Z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13/06/2020</vt:lpwstr>
  </property>
  <property fmtid="{D5CDD505-2E9C-101B-9397-08002B2CF9AE}" pid="3" name="output">
    <vt:lpwstr/>
  </property>
</Properties>
</file>