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Surgical Consultation Summary</w:t>
      </w:r>
    </w:p>
    <w:p>
      <w:pPr/>
      <w:r>
        <w:t>Patient presenting with progressive cervical radiculopathy refractory to conservative therapy.</w:t>
      </w:r>
    </w:p>
    <w:p>
      <w:pPr>
        <w:pStyle w:val="Heading2"/>
      </w:pPr>
      <w:r>
        <w:t>Key Clinical Findings</w:t>
      </w:r>
    </w:p>
    <w:p>
      <w:pPr>
        <w:pStyle w:val="ListBullet"/>
      </w:pPr>
      <w:r>
        <w:t>Hyperreflexia in right upper extremity</w:t>
      </w:r>
    </w:p>
    <w:p>
      <w:pPr>
        <w:pStyle w:val="ListBullet"/>
      </w:pPr>
      <w:r>
        <w:t>Positive Spurling test on right</w:t>
      </w:r>
    </w:p>
    <w:p>
      <w:pPr>
        <w:pStyle w:val="ListBullet"/>
      </w:pPr>
      <w:r>
        <w:t>MRI demonstrates C5-C6 right paracentral disc herniation</w:t>
      </w:r>
    </w:p>
    <w:p>
      <w:pPr>
        <w:pStyle w:val="Heading2"/>
      </w:pPr>
      <w:r>
        <w:t>Operative Plan &amp; Equipment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Levels</w:t>
            </w:r>
          </w:p>
        </w:tc>
        <w:tc>
          <w:tcPr>
            <w:tcW w:type="dxa" w:w="2880"/>
          </w:tcPr>
          <w:p>
            <w:r>
              <w:t>Implant / Hardware</w:t>
            </w:r>
          </w:p>
        </w:tc>
      </w:tr>
      <w:tr>
        <w:tc>
          <w:tcPr>
            <w:tcW w:type="dxa" w:w="2880"/>
          </w:tcPr>
          <w:p>
            <w:r>
              <w:t>ACDF</w:t>
            </w:r>
          </w:p>
        </w:tc>
        <w:tc>
          <w:tcPr>
            <w:tcW w:type="dxa" w:w="2880"/>
          </w:tcPr>
          <w:p>
            <w:r>
              <w:t>C5-C6</w:t>
            </w:r>
          </w:p>
        </w:tc>
        <w:tc>
          <w:tcPr>
            <w:tcW w:type="dxa" w:w="2880"/>
          </w:tcPr>
          <w:p>
            <w:r>
              <w:t>PEEK Cage + Anterior Cervical Plate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