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Análisis fundamental: 5 acciones tecnológicas</w:t>
      </w:r>
    </w:p>
    <w:p>
      <w:r>
        <w:rPr>
          <w:i/>
        </w:rPr>
        <w:t>Datos al 28/05/2026 · Fuente: Yahoo Finance (yfinance)</w:t>
      </w:r>
    </w:p>
    <w:p>
      <w:r>
        <w:t>Este informe descarga datos de mercado y razones financieras de cinco tecnológicas, las puntúa con un modelo transparente y concluye con la acción mejor posicionada según fundamentales.</w:t>
      </w:r>
    </w:p>
    <w:p>
      <w:pPr>
        <w:pStyle w:val="Heading1"/>
      </w:pPr>
      <w:r>
        <w:t>Metodología</w:t>
      </w:r>
    </w:p>
    <w:p>
      <w:r>
        <w:t>Cada acción recibe una puntuación compuesta (0-100) combinando 7 factores, normalizados entre las 5 empresas: valuación (P/U adelantado, 20%), crecimiento de ingresos (13%) y de utilidades (12%), rentabilidad sobre capital o ROE (14%), margen de ganancia (11%), salud financiera o deuda/capital (15%) y potencial frente al precio objetivo de analistas (15%).</w:t>
      </w:r>
    </w:p>
    <w:p>
      <w:pPr>
        <w:pStyle w:val="Heading1"/>
      </w:pPr>
      <w:r>
        <w:t>Tabla comparativa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864"/>
          </w:tcPr>
          <w:p>
            <w:r>
              <w:rPr>
                <w:b/>
              </w:rPr>
              <w:t>Precio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Cap.</w:t>
            </w:r>
          </w:p>
        </w:tc>
        <w:tc>
          <w:tcPr>
            <w:tcW w:type="dxa" w:w="864"/>
          </w:tcPr>
          <w:p>
            <w:r>
              <w:rPr>
                <w:b/>
              </w:rPr>
              <w:t>P/U fwd</w:t>
            </w:r>
          </w:p>
        </w:tc>
        <w:tc>
          <w:tcPr>
            <w:tcW w:type="dxa" w:w="864"/>
          </w:tcPr>
          <w:p>
            <w:r>
              <w:rPr>
                <w:b/>
              </w:rPr>
              <w:t>ROE</w:t>
            </w:r>
          </w:p>
        </w:tc>
        <w:tc>
          <w:tcPr>
            <w:tcW w:type="dxa" w:w="864"/>
          </w:tcPr>
          <w:p>
            <w:r>
              <w:rPr>
                <w:b/>
              </w:rPr>
              <w:t>Margen</w:t>
            </w:r>
          </w:p>
        </w:tc>
        <w:tc>
          <w:tcPr>
            <w:tcW w:type="dxa" w:w="864"/>
          </w:tcPr>
          <w:p>
            <w:r>
              <w:rPr>
                <w:b/>
              </w:rPr>
              <w:t>Crec. ing.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Deuda/Cap</w:t>
            </w:r>
          </w:p>
        </w:tc>
        <w:tc>
          <w:tcPr>
            <w:tcW w:type="dxa" w:w="864"/>
          </w:tcPr>
          <w:p>
            <w:r>
              <w:rPr>
                <w:b/>
              </w:rPr>
              <w:t>Potencial</w:t>
            </w:r>
          </w:p>
        </w:tc>
        <w:tc>
          <w:tcPr>
            <w:tcW w:type="dxa" w:w="864"/>
          </w:tcPr>
          <w:p>
            <w:r>
              <w:rPr>
                <w:b/>
              </w:rPr>
              <w:t>Puntaje</w:t>
            </w:r>
          </w:p>
        </w:tc>
      </w:tr>
      <w:tr>
        <w:tc>
          <w:tcPr>
            <w:tcW w:type="dxa" w:w="864"/>
          </w:tcPr>
          <w:p>
            <w:r>
              <w:t>NVDA</w:t>
            </w:r>
          </w:p>
        </w:tc>
        <w:tc>
          <w:tcPr>
            <w:tcW w:type="dxa" w:w="864"/>
          </w:tcPr>
          <w:p>
            <w:r>
              <w:t>$215</w:t>
            </w:r>
          </w:p>
        </w:tc>
        <w:tc>
          <w:tcPr>
            <w:tcW w:type="dxa" w:w="864"/>
          </w:tcPr>
          <w:p>
            <w:r>
              <w:t>$5.21 B</w:t>
            </w:r>
          </w:p>
        </w:tc>
        <w:tc>
          <w:tcPr>
            <w:tcW w:type="dxa" w:w="864"/>
          </w:tcPr>
          <w:p>
            <w:r>
              <w:t>17.0</w:t>
            </w:r>
          </w:p>
        </w:tc>
        <w:tc>
          <w:tcPr>
            <w:tcW w:type="dxa" w:w="864"/>
          </w:tcPr>
          <w:p>
            <w:r>
              <w:t>114.3%</w:t>
            </w:r>
          </w:p>
        </w:tc>
        <w:tc>
          <w:tcPr>
            <w:tcW w:type="dxa" w:w="864"/>
          </w:tcPr>
          <w:p>
            <w:r>
              <w:t>63.0%</w:t>
            </w:r>
          </w:p>
        </w:tc>
        <w:tc>
          <w:tcPr>
            <w:tcW w:type="dxa" w:w="864"/>
          </w:tcPr>
          <w:p>
            <w:r>
              <w:t>+85.2%</w:t>
            </w:r>
          </w:p>
        </w:tc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+37.5%</w:t>
            </w:r>
          </w:p>
        </w:tc>
        <w:tc>
          <w:tcPr>
            <w:tcW w:type="dxa" w:w="864"/>
          </w:tcPr>
          <w:p>
            <w:r>
              <w:t>96</w:t>
            </w:r>
          </w:p>
        </w:tc>
      </w:tr>
      <w:tr>
        <w:tc>
          <w:tcPr>
            <w:tcW w:type="dxa" w:w="864"/>
          </w:tcPr>
          <w:p>
            <w:r>
              <w:t>META</w:t>
            </w:r>
          </w:p>
        </w:tc>
        <w:tc>
          <w:tcPr>
            <w:tcW w:type="dxa" w:w="864"/>
          </w:tcPr>
          <w:p>
            <w:r>
              <w:t>$631</w:t>
            </w:r>
          </w:p>
        </w:tc>
        <w:tc>
          <w:tcPr>
            <w:tcW w:type="dxa" w:w="864"/>
          </w:tcPr>
          <w:p>
            <w:r>
              <w:t>$1.60 B</w:t>
            </w:r>
          </w:p>
        </w:tc>
        <w:tc>
          <w:tcPr>
            <w:tcW w:type="dxa" w:w="864"/>
          </w:tcPr>
          <w:p>
            <w:r>
              <w:t>17.5</w:t>
            </w:r>
          </w:p>
        </w:tc>
        <w:tc>
          <w:tcPr>
            <w:tcW w:type="dxa" w:w="864"/>
          </w:tcPr>
          <w:p>
            <w:r>
              <w:t>32.9%</w:t>
            </w:r>
          </w:p>
        </w:tc>
        <w:tc>
          <w:tcPr>
            <w:tcW w:type="dxa" w:w="864"/>
          </w:tcPr>
          <w:p>
            <w:r>
              <w:t>32.8%</w:t>
            </w:r>
          </w:p>
        </w:tc>
        <w:tc>
          <w:tcPr>
            <w:tcW w:type="dxa" w:w="864"/>
          </w:tcPr>
          <w:p>
            <w:r>
              <w:t>+33.1%</w:t>
            </w:r>
          </w:p>
        </w:tc>
        <w:tc>
          <w:tcPr>
            <w:tcW w:type="dxa" w:w="864"/>
          </w:tcPr>
          <w:p>
            <w:r>
              <w:t>36</w:t>
            </w:r>
          </w:p>
        </w:tc>
        <w:tc>
          <w:tcPr>
            <w:tcW w:type="dxa" w:w="864"/>
          </w:tcPr>
          <w:p>
            <w:r>
              <w:t>+30.9%</w:t>
            </w:r>
          </w:p>
        </w:tc>
        <w:tc>
          <w:tcPr>
            <w:tcW w:type="dxa" w:w="864"/>
          </w:tcPr>
          <w:p>
            <w:r>
              <w:t>48</w:t>
            </w:r>
          </w:p>
        </w:tc>
      </w:tr>
      <w:tr>
        <w:tc>
          <w:tcPr>
            <w:tcW w:type="dxa" w:w="864"/>
          </w:tcPr>
          <w:p>
            <w:r>
              <w:t>MSFT</w:t>
            </w:r>
          </w:p>
        </w:tc>
        <w:tc>
          <w:tcPr>
            <w:tcW w:type="dxa" w:w="864"/>
          </w:tcPr>
          <w:p>
            <w:r>
              <w:t>$428</w:t>
            </w:r>
          </w:p>
        </w:tc>
        <w:tc>
          <w:tcPr>
            <w:tcW w:type="dxa" w:w="864"/>
          </w:tcPr>
          <w:p>
            <w:r>
              <w:t>$3.18 B</w:t>
            </w:r>
          </w:p>
        </w:tc>
        <w:tc>
          <w:tcPr>
            <w:tcW w:type="dxa" w:w="864"/>
          </w:tcPr>
          <w:p>
            <w:r>
              <w:t>22.1</w:t>
            </w:r>
          </w:p>
        </w:tc>
        <w:tc>
          <w:tcPr>
            <w:tcW w:type="dxa" w:w="864"/>
          </w:tcPr>
          <w:p>
            <w:r>
              <w:t>34.0%</w:t>
            </w:r>
          </w:p>
        </w:tc>
        <w:tc>
          <w:tcPr>
            <w:tcW w:type="dxa" w:w="864"/>
          </w:tcPr>
          <w:p>
            <w:r>
              <w:t>39.3%</w:t>
            </w:r>
          </w:p>
        </w:tc>
        <w:tc>
          <w:tcPr>
            <w:tcW w:type="dxa" w:w="864"/>
          </w:tcPr>
          <w:p>
            <w:r>
              <w:t>+18.3%</w:t>
            </w:r>
          </w:p>
        </w:tc>
        <w:tc>
          <w:tcPr>
            <w:tcW w:type="dxa" w:w="864"/>
          </w:tcPr>
          <w:p>
            <w:r>
              <w:t>30</w:t>
            </w:r>
          </w:p>
        </w:tc>
        <w:tc>
          <w:tcPr>
            <w:tcW w:type="dxa" w:w="864"/>
          </w:tcPr>
          <w:p>
            <w:r>
              <w:t>+31.0%</w:t>
            </w:r>
          </w:p>
        </w:tc>
        <w:tc>
          <w:tcPr>
            <w:tcW w:type="dxa" w:w="864"/>
          </w:tcPr>
          <w:p>
            <w:r>
              <w:t>40</w:t>
            </w:r>
          </w:p>
        </w:tc>
      </w:tr>
      <w:tr>
        <w:tc>
          <w:tcPr>
            <w:tcW w:type="dxa" w:w="864"/>
          </w:tcPr>
          <w:p>
            <w:r>
              <w:t>GOOGL</w:t>
            </w:r>
          </w:p>
        </w:tc>
        <w:tc>
          <w:tcPr>
            <w:tcW w:type="dxa" w:w="864"/>
          </w:tcPr>
          <w:p>
            <w:r>
              <w:t>$389</w:t>
            </w:r>
          </w:p>
        </w:tc>
        <w:tc>
          <w:tcPr>
            <w:tcW w:type="dxa" w:w="864"/>
          </w:tcPr>
          <w:p>
            <w:r>
              <w:t>$4.72 B</w:t>
            </w:r>
          </w:p>
        </w:tc>
        <w:tc>
          <w:tcPr>
            <w:tcW w:type="dxa" w:w="864"/>
          </w:tcPr>
          <w:p>
            <w:r>
              <w:t>26.9</w:t>
            </w:r>
          </w:p>
        </w:tc>
        <w:tc>
          <w:tcPr>
            <w:tcW w:type="dxa" w:w="864"/>
          </w:tcPr>
          <w:p>
            <w:r>
              <w:t>38.9%</w:t>
            </w:r>
          </w:p>
        </w:tc>
        <w:tc>
          <w:tcPr>
            <w:tcW w:type="dxa" w:w="864"/>
          </w:tcPr>
          <w:p>
            <w:r>
              <w:t>37.9%</w:t>
            </w:r>
          </w:p>
        </w:tc>
        <w:tc>
          <w:tcPr>
            <w:tcW w:type="dxa" w:w="864"/>
          </w:tcPr>
          <w:p>
            <w:r>
              <w:t>+21.8%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+10.2%</w:t>
            </w:r>
          </w:p>
        </w:tc>
        <w:tc>
          <w:tcPr>
            <w:tcW w:type="dxa" w:w="864"/>
          </w:tcPr>
          <w:p>
            <w:r>
              <w:t>32</w:t>
            </w:r>
          </w:p>
        </w:tc>
      </w:tr>
      <w:tr>
        <w:tc>
          <w:tcPr>
            <w:tcW w:type="dxa" w:w="864"/>
          </w:tcPr>
          <w:p>
            <w:r>
              <w:t>AAPL</w:t>
            </w:r>
          </w:p>
        </w:tc>
        <w:tc>
          <w:tcPr>
            <w:tcW w:type="dxa" w:w="864"/>
          </w:tcPr>
          <w:p>
            <w:r>
              <w:t>$310</w:t>
            </w:r>
          </w:p>
        </w:tc>
        <w:tc>
          <w:tcPr>
            <w:tcW w:type="dxa" w:w="864"/>
          </w:tcPr>
          <w:p>
            <w:r>
              <w:t>$4.56 B</w:t>
            </w:r>
          </w:p>
        </w:tc>
        <w:tc>
          <w:tcPr>
            <w:tcW w:type="dxa" w:w="864"/>
          </w:tcPr>
          <w:p>
            <w:r>
              <w:t>32.3</w:t>
            </w:r>
          </w:p>
        </w:tc>
        <w:tc>
          <w:tcPr>
            <w:tcW w:type="dxa" w:w="864"/>
          </w:tcPr>
          <w:p>
            <w:r>
              <w:t>141.5%</w:t>
            </w:r>
          </w:p>
        </w:tc>
        <w:tc>
          <w:tcPr>
            <w:tcW w:type="dxa" w:w="864"/>
          </w:tcPr>
          <w:p>
            <w:r>
              <w:t>27.2%</w:t>
            </w:r>
          </w:p>
        </w:tc>
        <w:tc>
          <w:tcPr>
            <w:tcW w:type="dxa" w:w="864"/>
          </w:tcPr>
          <w:p>
            <w:r>
              <w:t>+16.6%</w:t>
            </w:r>
          </w:p>
        </w:tc>
        <w:tc>
          <w:tcPr>
            <w:tcW w:type="dxa" w:w="864"/>
          </w:tcPr>
          <w:p>
            <w:r>
              <w:t>80</w:t>
            </w:r>
          </w:p>
        </w:tc>
        <w:tc>
          <w:tcPr>
            <w:tcW w:type="dxa" w:w="864"/>
          </w:tcPr>
          <w:p>
            <w:r>
              <w:t>+0.0%</w:t>
            </w:r>
          </w:p>
        </w:tc>
        <w:tc>
          <w:tcPr>
            <w:tcW w:type="dxa" w:w="864"/>
          </w:tcPr>
          <w:p>
            <w:r>
              <w:t>14</w:t>
            </w:r>
          </w:p>
        </w:tc>
      </w:tr>
    </w:tbl>
    <w:p>
      <w:pPr>
        <w:pStyle w:val="Heading1"/>
      </w:pPr>
      <w:r>
        <w:t>Detalle por acción</w:t>
      </w:r>
    </w:p>
    <w:p>
      <w:pPr>
        <w:pStyle w:val="Heading2"/>
      </w:pPr>
      <w:r>
        <w:t>#1 · NVIDIA Corporation (NVDA) — puntaje 96/100</w:t>
      </w:r>
    </w:p>
    <w:p>
      <w:pPr>
        <w:pStyle w:val="ListBullet"/>
      </w:pPr>
      <w:r>
        <w:t>Valuación razonable (P/U fwd 17.0).</w:t>
      </w:r>
    </w:p>
    <w:p>
      <w:pPr>
        <w:pStyle w:val="ListBullet"/>
      </w:pPr>
      <w:r>
        <w:t>Rentabilidad muy alta (ROE 114%).</w:t>
      </w:r>
    </w:p>
    <w:p>
      <w:pPr>
        <w:pStyle w:val="ListBullet"/>
      </w:pPr>
      <w:r>
        <w:t>Crecimiento de ingresos +85% interanual.</w:t>
      </w:r>
    </w:p>
    <w:p>
      <w:pPr>
        <w:pStyle w:val="ListBullet"/>
      </w:pPr>
      <w:r>
        <w:t>Apalancamiento bajo (deuda/capital 7).</w:t>
      </w:r>
    </w:p>
    <w:p>
      <w:pPr>
        <w:pStyle w:val="ListBullet"/>
      </w:pPr>
      <w:r>
        <w:t>Potencial vs. precio objetivo de analistas: +38%.</w:t>
      </w:r>
    </w:p>
    <w:p>
      <w:pPr>
        <w:pStyle w:val="ListBullet"/>
      </w:pPr>
      <w:r>
        <w:t>Rendimiento 12 meses: +59%.</w:t>
      </w:r>
    </w:p>
    <w:p>
      <w:pPr>
        <w:pStyle w:val="Heading2"/>
      </w:pPr>
      <w:r>
        <w:t>#2 · Meta Platforms, Inc. (META) — puntaje 48/100</w:t>
      </w:r>
    </w:p>
    <w:p>
      <w:pPr>
        <w:pStyle w:val="ListBullet"/>
      </w:pPr>
      <w:r>
        <w:t>Valuación razonable (P/U fwd 17.5).</w:t>
      </w:r>
    </w:p>
    <w:p>
      <w:pPr>
        <w:pStyle w:val="ListBullet"/>
      </w:pPr>
      <w:r>
        <w:t>Rentabilidad muy alta (ROE 33%).</w:t>
      </w:r>
    </w:p>
    <w:p>
      <w:pPr>
        <w:pStyle w:val="ListBullet"/>
      </w:pPr>
      <w:r>
        <w:t>Crecimiento de ingresos +33% interanual.</w:t>
      </w:r>
    </w:p>
    <w:p>
      <w:pPr>
        <w:pStyle w:val="ListBullet"/>
      </w:pPr>
      <w:r>
        <w:t>Apalancamiento bajo (deuda/capital 36).</w:t>
      </w:r>
    </w:p>
    <w:p>
      <w:pPr>
        <w:pStyle w:val="ListBullet"/>
      </w:pPr>
      <w:r>
        <w:t>Potencial vs. precio objetivo de analistas: +31%.</w:t>
      </w:r>
    </w:p>
    <w:p>
      <w:pPr>
        <w:pStyle w:val="ListBullet"/>
      </w:pPr>
      <w:r>
        <w:t>Rendimiento 12 meses: -2%.</w:t>
      </w:r>
    </w:p>
    <w:p>
      <w:pPr>
        <w:pStyle w:val="Heading2"/>
      </w:pPr>
      <w:r>
        <w:t>#3 · Microsoft Corporation (MSFT) — puntaje 40/100</w:t>
      </w:r>
    </w:p>
    <w:p>
      <w:pPr>
        <w:pStyle w:val="ListBullet"/>
      </w:pPr>
      <w:r>
        <w:t>Valuación media (P/U fwd 22.1).</w:t>
      </w:r>
    </w:p>
    <w:p>
      <w:pPr>
        <w:pStyle w:val="ListBullet"/>
      </w:pPr>
      <w:r>
        <w:t>Rentabilidad muy alta (ROE 34%).</w:t>
      </w:r>
    </w:p>
    <w:p>
      <w:pPr>
        <w:pStyle w:val="ListBullet"/>
      </w:pPr>
      <w:r>
        <w:t>Crecimiento de ingresos +18% interanual.</w:t>
      </w:r>
    </w:p>
    <w:p>
      <w:pPr>
        <w:pStyle w:val="ListBullet"/>
      </w:pPr>
      <w:r>
        <w:t>Apalancamiento bajo (deuda/capital 30).</w:t>
      </w:r>
    </w:p>
    <w:p>
      <w:pPr>
        <w:pStyle w:val="ListBullet"/>
      </w:pPr>
      <w:r>
        <w:t>Potencial vs. precio objetivo de analistas: +31%.</w:t>
      </w:r>
    </w:p>
    <w:p>
      <w:pPr>
        <w:pStyle w:val="ListBullet"/>
      </w:pPr>
      <w:r>
        <w:t>Rendimiento 12 meses: -6%.</w:t>
      </w:r>
    </w:p>
    <w:p>
      <w:pPr>
        <w:pStyle w:val="Heading2"/>
      </w:pPr>
      <w:r>
        <w:t>#4 · Alphabet Inc. (GOOGL) — puntaje 32/100</w:t>
      </w:r>
    </w:p>
    <w:p>
      <w:pPr>
        <w:pStyle w:val="ListBullet"/>
      </w:pPr>
      <w:r>
        <w:t>Valuación media (P/U fwd 26.9).</w:t>
      </w:r>
    </w:p>
    <w:p>
      <w:pPr>
        <w:pStyle w:val="ListBullet"/>
      </w:pPr>
      <w:r>
        <w:t>Rentabilidad muy alta (ROE 39%).</w:t>
      </w:r>
    </w:p>
    <w:p>
      <w:pPr>
        <w:pStyle w:val="ListBullet"/>
      </w:pPr>
      <w:r>
        <w:t>Crecimiento de ingresos +22% interanual.</w:t>
      </w:r>
    </w:p>
    <w:p>
      <w:pPr>
        <w:pStyle w:val="ListBullet"/>
      </w:pPr>
      <w:r>
        <w:t>Apalancamiento bajo (deuda/capital 20).</w:t>
      </w:r>
    </w:p>
    <w:p>
      <w:pPr>
        <w:pStyle w:val="ListBullet"/>
      </w:pPr>
      <w:r>
        <w:t>Potencial vs. precio objetivo de analistas: +10%.</w:t>
      </w:r>
    </w:p>
    <w:p>
      <w:pPr>
        <w:pStyle w:val="ListBullet"/>
      </w:pPr>
      <w:r>
        <w:t>Rendimiento 12 meses: +127%.</w:t>
      </w:r>
    </w:p>
    <w:p>
      <w:pPr>
        <w:pStyle w:val="Heading2"/>
      </w:pPr>
      <w:r>
        <w:t>#5 · Apple Inc. (AAPL) — puntaje 14/100</w:t>
      </w:r>
    </w:p>
    <w:p>
      <w:pPr>
        <w:pStyle w:val="ListBullet"/>
      </w:pPr>
      <w:r>
        <w:t>Valuación media (P/U fwd 32.3).</w:t>
      </w:r>
    </w:p>
    <w:p>
      <w:pPr>
        <w:pStyle w:val="ListBullet"/>
      </w:pPr>
      <w:r>
        <w:t>Rentabilidad muy alta (ROE 141%).</w:t>
      </w:r>
    </w:p>
    <w:p>
      <w:pPr>
        <w:pStyle w:val="ListBullet"/>
      </w:pPr>
      <w:r>
        <w:t>Crecimiento de ingresos +17% interanual.</w:t>
      </w:r>
    </w:p>
    <w:p>
      <w:pPr>
        <w:pStyle w:val="ListBullet"/>
      </w:pPr>
      <w:r>
        <w:t>Apalancamiento moderado (deuda/capital 80).</w:t>
      </w:r>
    </w:p>
    <w:p>
      <w:pPr>
        <w:pStyle w:val="ListBullet"/>
      </w:pPr>
      <w:r>
        <w:t>Potencial vs. precio objetivo de analistas: +0%.</w:t>
      </w:r>
    </w:p>
    <w:p>
      <w:pPr>
        <w:pStyle w:val="ListBullet"/>
      </w:pPr>
      <w:r>
        <w:t>Rendimiento 12 meses: +56%.</w:t>
      </w:r>
    </w:p>
    <w:p>
      <w:pPr>
        <w:pStyle w:val="Heading1"/>
      </w:pPr>
      <w:r>
        <w:t>Conclusión y recomendación</w:t>
      </w:r>
    </w:p>
    <w:p>
      <w:r>
        <w:rPr>
          <w:b/>
        </w:rPr>
        <w:t>Acción recomendada para comprar: NVIDIA Corporation (NVDA).</w:t>
      </w:r>
    </w:p>
    <w:p>
      <w:r>
        <w:t>NVDA obtiene el puntaje más alto (96/100) al combinar de forma equilibrada rentabilidad, crecimiento, valuación y potencial al alza. Le siguen META (48) y MSFT (40).</w:t>
      </w:r>
    </w:p>
    <w:p>
      <w:pPr>
        <w:pStyle w:val="Heading1"/>
      </w:pPr>
      <w:r>
        <w:t>Aviso</w:t>
      </w:r>
    </w:p>
    <w:p>
      <w:r>
        <w:rPr>
          <w:i/>
        </w:rPr>
        <w:t>Este documento es material educativo y de análisis. NO constituye asesoría financiera ni una recomendación personalizada de compra o venta. Los datos provienen de Yahoo Finance y pueden contener errores o estar desactualizados; el rendimiento pasado no garantiza resultados futuros. Toma tus decisiones de inversión con tu propio criterio y, si lo necesitas, con un asesor certificado.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