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9BEE725"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has been proposed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poorly understood. In particular, the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foodborne disease in humans</w:t>
      </w:r>
      <w:r w:rsidR="00001E08">
        <w:t xml:space="preserve">. </w:t>
      </w:r>
    </w:p>
    <w:p w14:paraId="62100CD7" w14:textId="77777777" w:rsidR="00001E08" w:rsidRDefault="00001E08" w:rsidP="00001E08">
      <w:pPr>
        <w:pStyle w:val="NoSpacing"/>
        <w:spacing w:line="360" w:lineRule="auto"/>
        <w:jc w:val="both"/>
      </w:pPr>
    </w:p>
    <w:p w14:paraId="68ABF606" w14:textId="77777777" w:rsidR="004E423A" w:rsidRDefault="002A3C83" w:rsidP="00001E08">
      <w:pPr>
        <w:pStyle w:val="NoSpacing"/>
        <w:spacing w:line="360" w:lineRule="auto"/>
        <w:jc w:val="both"/>
        <w:rPr>
          <w:rFonts w:cstheme="minorHAnsi"/>
          <w:bCs/>
        </w:rPr>
      </w:pPr>
      <w:r w:rsidRPr="00001E08">
        <w:rPr>
          <w:rFonts w:cstheme="minorHAnsi"/>
          <w:bCs/>
        </w:rPr>
        <w:t xml:space="preserve">The model identified increases in overall human foodborne disease and a decrease in resistant human </w:t>
      </w:r>
      <w:r w:rsidR="00AB6D83">
        <w:rPr>
          <w:rFonts w:cstheme="minorHAnsi"/>
          <w:bCs/>
        </w:rPr>
        <w:t xml:space="preserve">foodborne </w:t>
      </w:r>
      <w:r w:rsidRPr="00001E08">
        <w:rPr>
          <w:rFonts w:cstheme="minorHAnsi"/>
          <w:bCs/>
        </w:rPr>
        <w:t>disease following livestock antib</w:t>
      </w:r>
      <w:r w:rsidR="00E825D9">
        <w:rPr>
          <w:rFonts w:cstheme="minorHAnsi"/>
          <w:bCs/>
        </w:rPr>
        <w:t>iotic curtailment. However, these effects</w:t>
      </w:r>
      <w:r w:rsidRPr="00001E08">
        <w:rPr>
          <w:rFonts w:cstheme="minorHAnsi"/>
          <w:bCs/>
        </w:rPr>
        <w:t xml:space="preserve"> can be mitigated through interventions to reduce animal-to-human transmission, and to a lesser extent, animal-to-animal transmission and the background </w:t>
      </w:r>
      <w:r w:rsidR="00001E08">
        <w:rPr>
          <w:rFonts w:cstheme="minorHAnsi"/>
          <w:bCs/>
        </w:rPr>
        <w:t xml:space="preserve">rate of </w:t>
      </w:r>
      <w:r w:rsidRPr="00001E08">
        <w:rPr>
          <w:rFonts w:cstheme="minorHAnsi"/>
          <w:bCs/>
        </w:rPr>
        <w:t>contamination in livestock</w:t>
      </w:r>
      <w:r w:rsidR="00AB6D83">
        <w:rPr>
          <w:rFonts w:cstheme="minorHAnsi"/>
          <w:bCs/>
        </w:rPr>
        <w:t xml:space="preserve">. </w:t>
      </w:r>
      <w:r w:rsidR="005C16A5" w:rsidRPr="00001E08">
        <w:rPr>
          <w:rFonts w:cstheme="minorHAnsi"/>
          <w:bCs/>
        </w:rPr>
        <w:t>The magnitude of interventions needed to mitigate</w:t>
      </w:r>
      <w:r w:rsidRPr="00001E08">
        <w:rPr>
          <w:rFonts w:cstheme="minorHAnsi"/>
          <w:bCs/>
        </w:rPr>
        <w:t xml:space="preserve"> increases in human foodborne disease </w:t>
      </w:r>
      <w:r w:rsidR="005C16A5" w:rsidRPr="00001E08">
        <w:rPr>
          <w:rFonts w:cstheme="minorHAnsi"/>
          <w:bCs/>
        </w:rPr>
        <w:t xml:space="preserve">was found to </w:t>
      </w:r>
      <w:r w:rsidRPr="00001E08">
        <w:rPr>
          <w:rFonts w:cstheme="minorHAnsi"/>
          <w:bCs/>
        </w:rPr>
        <w:t xml:space="preserve">vary across different case studies, suggesting that a “one-size fits all approach” </w:t>
      </w:r>
      <w:r w:rsidR="00001E08" w:rsidRPr="00001E08">
        <w:rPr>
          <w:rFonts w:cstheme="minorHAnsi"/>
          <w:bCs/>
        </w:rPr>
        <w:t xml:space="preserve">across different agricultural settings, livestock </w:t>
      </w:r>
      <w:r w:rsidR="00AB6D83" w:rsidRPr="00001E08">
        <w:rPr>
          <w:rFonts w:cstheme="minorHAnsi"/>
          <w:bCs/>
        </w:rPr>
        <w:t>hosts,</w:t>
      </w:r>
      <w:r w:rsidR="00001E08" w:rsidRPr="00001E08">
        <w:rPr>
          <w:rFonts w:cstheme="minorHAnsi"/>
          <w:bCs/>
        </w:rPr>
        <w:t xml:space="preserve"> and drug/bug combinations </w:t>
      </w:r>
      <w:r w:rsidRPr="00001E08">
        <w:rPr>
          <w:rFonts w:cstheme="minorHAnsi"/>
          <w:bCs/>
        </w:rPr>
        <w:t xml:space="preserve">will likely not be </w:t>
      </w:r>
      <w:r w:rsidR="00AB6D83">
        <w:rPr>
          <w:rFonts w:cstheme="minorHAnsi"/>
          <w:bCs/>
        </w:rPr>
        <w:t>efficacious or efficient</w:t>
      </w:r>
      <w:r w:rsidRPr="00001E08">
        <w:rPr>
          <w:rFonts w:cstheme="minorHAnsi"/>
          <w:bCs/>
        </w:rPr>
        <w:t>.</w:t>
      </w:r>
      <w:r w:rsidR="004E423A">
        <w:rPr>
          <w:rFonts w:cstheme="minorHAnsi"/>
          <w:bCs/>
        </w:rPr>
        <w:t xml:space="preserve"> </w:t>
      </w:r>
    </w:p>
    <w:p w14:paraId="2808EDA9" w14:textId="77777777" w:rsidR="004E423A" w:rsidRDefault="004E423A" w:rsidP="00001E08">
      <w:pPr>
        <w:pStyle w:val="NoSpacing"/>
        <w:spacing w:line="360" w:lineRule="auto"/>
        <w:jc w:val="both"/>
        <w:rPr>
          <w:rFonts w:cstheme="minorHAnsi"/>
          <w:bCs/>
        </w:rPr>
      </w:pPr>
    </w:p>
    <w:p w14:paraId="30F350B2" w14:textId="232B7327" w:rsidR="004E423A" w:rsidRDefault="004E423A" w:rsidP="00001E08">
      <w:pPr>
        <w:pStyle w:val="NoSpacing"/>
        <w:spacing w:line="360" w:lineRule="auto"/>
        <w:jc w:val="both"/>
        <w:rPr>
          <w:rFonts w:cstheme="minorHAnsi"/>
          <w:bCs/>
        </w:rPr>
      </w:pPr>
      <w:r>
        <w:rPr>
          <w:rFonts w:cstheme="minorHAnsi"/>
          <w:bCs/>
        </w:rPr>
        <w:t xml:space="preserve">This study provides a motivating example of one of many plausible scenarios following livestock antibiotic curtailment and identifies that even if increases in human foodborne disease are observed, existing agricultural biosecurity interventions can successfully mitigate the negative human health consequences of livestock antibiotic curtailment. </w:t>
      </w:r>
    </w:p>
    <w:p w14:paraId="5FBD5EB1" w14:textId="0948EE69" w:rsidR="005C16A5" w:rsidRDefault="005C16A5"/>
    <w:p w14:paraId="11B9E4CB" w14:textId="77777777" w:rsidR="004E423A" w:rsidRDefault="004E423A"/>
    <w:p w14:paraId="6E66F138" w14:textId="42DECE82" w:rsidR="005C16A5" w:rsidRDefault="005C16A5"/>
    <w:p w14:paraId="78A52F8F" w14:textId="741E7516" w:rsidR="00001E08" w:rsidRDefault="00001E08"/>
    <w:p w14:paraId="4F7EBBCF" w14:textId="4BF7E6EA" w:rsidR="00001E08" w:rsidRDefault="00001E08"/>
    <w:p w14:paraId="00627C5F" w14:textId="5D4A086D" w:rsidR="00001E08" w:rsidRDefault="00001E08"/>
    <w:p w14:paraId="7C32151D" w14:textId="2860E7C2" w:rsidR="00001E08" w:rsidRDefault="00001E08"/>
    <w:p w14:paraId="28A7B872" w14:textId="675B63C2" w:rsidR="00001E08" w:rsidRDefault="00001E08"/>
    <w:p w14:paraId="380EFE37" w14:textId="77777777" w:rsidR="00001E08" w:rsidRDefault="00001E08"/>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06345799"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ivestock antibiotic usage has been identified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occurring at the livestock/human interface</w:t>
      </w:r>
      <w:r w:rsidR="00CD09DF">
        <w:t xml:space="preserve"> (</w:t>
      </w:r>
      <w:r w:rsidR="00CD09DF" w:rsidRPr="00CD09DF">
        <w:rPr>
          <w:b/>
          <w:bCs/>
          <w:highlight w:val="yellow"/>
        </w:rPr>
        <w:t>CITE</w:t>
      </w:r>
      <w:r w:rsidR="00CD09DF">
        <w:t>)</w:t>
      </w:r>
      <w:r w:rsidRPr="004A57A9">
        <w:t xml:space="preserve">. </w:t>
      </w:r>
      <w:r>
        <w:t xml:space="preserve">This has led to calls to curtail the usage of livestock antibiotics, with </w:t>
      </w:r>
      <w:r w:rsidRPr="007C08DE">
        <w:t>legislature such as the 2006 European Union ban and 2017 US Food Drug Administration regulation on antibiotic growth</w:t>
      </w:r>
      <w:r>
        <w:t xml:space="preserve"> promotion, aiming to safeguard the efficacy of clinical antibiotics and reduce the potential for transmission of resistant pathogens to human populations</w:t>
      </w:r>
      <w:r w:rsidR="00CD09DF">
        <w:t xml:space="preserve"> (</w:t>
      </w:r>
      <w:r w:rsidR="00CD09DF" w:rsidRPr="00CD09DF">
        <w:rPr>
          <w:b/>
          <w:bCs/>
          <w:highlight w:val="yellow"/>
        </w:rPr>
        <w:t>CITE</w:t>
      </w:r>
      <w:r w:rsidR="00CD09DF">
        <w:t>)</w:t>
      </w:r>
      <w:r w:rsidRPr="00613A3E">
        <w:t xml:space="preserve">. </w:t>
      </w:r>
    </w:p>
    <w:p w14:paraId="42A3DAE3" w14:textId="77777777" w:rsidR="008D5DB0" w:rsidRDefault="008D5DB0" w:rsidP="008D5DB0">
      <w:pPr>
        <w:pStyle w:val="NoSpacing"/>
        <w:spacing w:line="360" w:lineRule="auto"/>
        <w:jc w:val="both"/>
      </w:pPr>
    </w:p>
    <w:p w14:paraId="231119BF" w14:textId="046D6268"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decreased faecal </w:t>
      </w:r>
      <w:r w:rsidRPr="00F2302A">
        <w:rPr>
          <w:i/>
          <w:iCs/>
        </w:rPr>
        <w:t>Enterococci</w:t>
      </w:r>
      <w:r w:rsidRPr="00F2302A">
        <w:t xml:space="preserve"> resistance rates in Denmark and Germany resulting from the 2006 growth promotion ban</w:t>
      </w:r>
      <w:r w:rsidR="00CD09DF">
        <w:t xml:space="preserve"> (</w:t>
      </w:r>
      <w:r w:rsidR="00CD09DF" w:rsidRPr="00CD09DF">
        <w:rPr>
          <w:b/>
          <w:bCs/>
          <w:highlight w:val="yellow"/>
        </w:rPr>
        <w:t>CITE</w:t>
      </w:r>
      <w:r w:rsidR="00CD09DF">
        <w:t>)</w:t>
      </w:r>
      <w:r w:rsidRPr="00F2302A">
        <w:t xml:space="preserve">. </w:t>
      </w:r>
      <w:r w:rsidR="0084700F">
        <w:t>T</w:t>
      </w:r>
      <w:r w:rsidRPr="00356172">
        <w:t>ransient increases in the carriage of other resistant pathogens</w:t>
      </w:r>
      <w:r>
        <w:t>,</w:t>
      </w:r>
      <w:r w:rsidRPr="00F2302A">
        <w:t xml:space="preserve"> increases in livestock carriage of foodborne pathogens and increases in therapeutic livestock antibiotic usage following antibiotic curtailment</w:t>
      </w:r>
      <w:r w:rsidR="00CD09DF">
        <w:t xml:space="preserve"> </w:t>
      </w:r>
      <w:r w:rsidR="0084700F">
        <w:t xml:space="preserve">has also been identified in AMR literature </w:t>
      </w:r>
      <w:r w:rsidR="00CD09DF">
        <w:t>(</w:t>
      </w:r>
      <w:r w:rsidR="00CD09DF" w:rsidRPr="00CD09DF">
        <w:rPr>
          <w:b/>
          <w:bCs/>
          <w:highlight w:val="yellow"/>
        </w:rPr>
        <w:t>CITE</w:t>
      </w:r>
      <w:r w:rsidR="00CD09DF">
        <w:t>)</w:t>
      </w:r>
      <w:r w:rsidRPr="00F2302A">
        <w:t xml:space="preserve">. These negative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CD09DF">
        <w:t xml:space="preserve"> (</w:t>
      </w:r>
      <w:r w:rsidR="00CD09DF" w:rsidRPr="00CD09DF">
        <w:rPr>
          <w:b/>
          <w:bCs/>
          <w:highlight w:val="yellow"/>
        </w:rPr>
        <w:t>CITE</w:t>
      </w:r>
      <w:r w:rsidR="00CD09DF">
        <w:t>)</w:t>
      </w:r>
      <w:r w:rsidRPr="00F2302A">
        <w:t>. However, the unforeseen nature of these potential consequences highlights the risks of</w:t>
      </w:r>
      <w:r w:rsidRPr="00F23CAB">
        <w:t xml:space="preserve"> introducing substantial interventions into highly complex and poorly understood systems as part of a “precautionary principle” based approach</w:t>
      </w:r>
      <w:r w:rsidR="00CD09DF">
        <w:t xml:space="preserve"> (</w:t>
      </w:r>
      <w:r w:rsidR="00CD09DF" w:rsidRPr="00CD09DF">
        <w:rPr>
          <w:b/>
          <w:bCs/>
          <w:highlight w:val="yellow"/>
        </w:rPr>
        <w:t>CITE</w:t>
      </w:r>
      <w:r w:rsidR="00CD09DF">
        <w:t>)</w:t>
      </w:r>
      <w:r w:rsidRPr="00F23CAB">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CD09DF">
        <w:t xml:space="preserve"> (</w:t>
      </w:r>
      <w:r w:rsidR="00CD09DF" w:rsidRPr="00CD09DF">
        <w:rPr>
          <w:b/>
          <w:bCs/>
          <w:highlight w:val="yellow"/>
        </w:rPr>
        <w:t>CITE</w:t>
      </w:r>
      <w:r w:rsidR="00CD09DF">
        <w:t>)</w:t>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p>
    <w:p w14:paraId="621581B6" w14:textId="77777777" w:rsidR="008D5DB0" w:rsidRDefault="008D5DB0" w:rsidP="008D5DB0">
      <w:pPr>
        <w:pStyle w:val="NoSpacing"/>
        <w:spacing w:line="360" w:lineRule="auto"/>
        <w:jc w:val="both"/>
      </w:pPr>
    </w:p>
    <w:p w14:paraId="6E1E0E56" w14:textId="017A80A0" w:rsidR="008D5DB0" w:rsidRDefault="008D5DB0" w:rsidP="008D5DB0">
      <w:pPr>
        <w:pStyle w:val="NoSpacing"/>
        <w:spacing w:line="360" w:lineRule="auto"/>
        <w:jc w:val="both"/>
      </w:pPr>
      <w:r>
        <w:t>One approach to better understand the complexities of livestock antibiotic usage includes the use of mathematical models, which are simplified representations of complex real-world systems.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CD09DF" w:rsidRPr="00CD09DF">
        <w:rPr>
          <w:b/>
          <w:bCs/>
          <w:highlight w:val="yellow"/>
        </w:rPr>
        <w:t>CITE</w:t>
      </w:r>
      <w:r w:rsidR="00CD09DF">
        <w:t>)</w:t>
      </w:r>
      <w:r>
        <w:t xml:space="preserve">. Existing frameworks include predictive risk assessment models and a small </w:t>
      </w:r>
      <w:r>
        <w:lastRenderedPageBreak/>
        <w:t>number of generalised deterministic models</w:t>
      </w:r>
      <w:r w:rsidR="00CD09DF">
        <w:t xml:space="preserve"> (</w:t>
      </w:r>
      <w:r w:rsidR="00CD09DF" w:rsidRPr="00CD09DF">
        <w:rPr>
          <w:b/>
          <w:bCs/>
          <w:highlight w:val="yellow"/>
        </w:rPr>
        <w:t>CITE</w:t>
      </w:r>
      <w:r w:rsidR="00135359">
        <w:t>). Nevertheless</w:t>
      </w:r>
      <w:r>
        <w:t xml:space="preserve">, a significant number of knowledge gaps still exist, including a lack of understanding of the potential consequences resulting from livestock antibiotic curtailment and the impact of different mitigating scenarios on altering these outcomes.  </w:t>
      </w:r>
    </w:p>
    <w:p w14:paraId="1218F6AD" w14:textId="77777777" w:rsidR="008D5DB0" w:rsidRDefault="008D5DB0" w:rsidP="008D5DB0">
      <w:pPr>
        <w:pStyle w:val="NoSpacing"/>
        <w:spacing w:line="360" w:lineRule="auto"/>
        <w:jc w:val="both"/>
      </w:pPr>
    </w:p>
    <w:p w14:paraId="62BC0105" w14:textId="4C0EC823"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will </w:t>
      </w:r>
      <w:r>
        <w:t xml:space="preserve">explore the potential long-term consequences of livestock antibiotic curtailment, including alterations to the overall prevalence of human foodborne disease and the antibiotic-resistant fraction. Additionally, </w:t>
      </w:r>
      <w:r w:rsidR="00111260">
        <w:t xml:space="preserve">we </w:t>
      </w:r>
      <w:r>
        <w:t xml:space="preserve">will 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4FEC0F5A" w:rsidR="00B361BE" w:rsidRDefault="00B361BE" w:rsidP="008D5DB0">
      <w:pPr>
        <w:pStyle w:val="NoSpacing"/>
        <w:spacing w:line="360" w:lineRule="auto"/>
        <w:jc w:val="both"/>
      </w:pPr>
    </w:p>
    <w:p w14:paraId="2E15C737" w14:textId="14885975" w:rsidR="00C02277" w:rsidRDefault="00C02277" w:rsidP="008D5DB0">
      <w:pPr>
        <w:pStyle w:val="NoSpacing"/>
        <w:spacing w:line="360" w:lineRule="auto"/>
        <w:jc w:val="both"/>
      </w:pPr>
    </w:p>
    <w:p w14:paraId="4DDC9420" w14:textId="77777777" w:rsidR="00C02277" w:rsidRDefault="00C02277" w:rsidP="008D5DB0">
      <w:pPr>
        <w:pStyle w:val="NoSpacing"/>
        <w:spacing w:line="360" w:lineRule="auto"/>
        <w:jc w:val="both"/>
      </w:pPr>
    </w:p>
    <w:p w14:paraId="055BC905" w14:textId="2D3B8448" w:rsidR="002A3C83" w:rsidRDefault="002A3C83" w:rsidP="008D5DB0">
      <w:pPr>
        <w:pStyle w:val="NoSpacing"/>
        <w:spacing w:line="360" w:lineRule="auto"/>
        <w:jc w:val="both"/>
      </w:pPr>
    </w:p>
    <w:p w14:paraId="5F4E9239" w14:textId="6440F708" w:rsidR="002A3C83" w:rsidRDefault="002A3C83" w:rsidP="008D5DB0">
      <w:pPr>
        <w:pStyle w:val="NoSpacing"/>
        <w:spacing w:line="360" w:lineRule="auto"/>
        <w:jc w:val="both"/>
      </w:pPr>
    </w:p>
    <w:p w14:paraId="2B51D3E3" w14:textId="52499D7B" w:rsidR="0084700F" w:rsidRDefault="0084700F"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01E7C46A" w:rsidR="008D5DB0" w:rsidRPr="00713317" w:rsidRDefault="008D5DB0" w:rsidP="008D5DB0">
      <w:pPr>
        <w:pStyle w:val="NoSpacing"/>
        <w:numPr>
          <w:ilvl w:val="0"/>
          <w:numId w:val="2"/>
        </w:numPr>
        <w:spacing w:line="360" w:lineRule="auto"/>
        <w:rPr>
          <w:b/>
          <w:u w:val="single"/>
        </w:rPr>
      </w:pPr>
      <w:r w:rsidRPr="0066185C">
        <w:rPr>
          <w:b/>
          <w:u w:val="single"/>
        </w:rPr>
        <w:t xml:space="preserve">Model Structure </w:t>
      </w:r>
      <w:r>
        <w:rPr>
          <w:b/>
          <w:u w:val="single"/>
        </w:rPr>
        <w:t>and Description</w:t>
      </w:r>
    </w:p>
    <w:p w14:paraId="4A8D70F7" w14:textId="02D33E9F"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antibiotic-resistant and antibiotic-sensitive foodborne bacteria within</w:t>
      </w:r>
      <w:r w:rsidR="00111260">
        <w:t xml:space="preserve"> and </w:t>
      </w:r>
      <w:r w:rsidRPr="00C96CDC">
        <w:t xml:space="preserve">between </w:t>
      </w:r>
      <w:r w:rsidRPr="000B23BB">
        <w:rPr>
          <w:highlight w:val="yellow"/>
        </w:rPr>
        <w:t>livestock</w:t>
      </w:r>
      <w:r w:rsidRPr="00C96CDC">
        <w:t xml:space="preserve"> and human populations </w:t>
      </w:r>
      <w:r w:rsidRPr="002F522E">
        <w:t>(</w:t>
      </w:r>
      <w:r w:rsidRPr="002F522E">
        <w:rPr>
          <w:b/>
          <w:bCs/>
        </w:rPr>
        <w:t>Figure 1</w:t>
      </w:r>
      <w:r w:rsidRPr="002F522E">
        <w:t>)</w:t>
      </w:r>
      <w:r w:rsidR="00C95575">
        <w:t xml:space="preserve"> (</w:t>
      </w:r>
      <w:r w:rsidR="00C95575" w:rsidRPr="00C95575">
        <w:rPr>
          <w:b/>
          <w:bCs/>
          <w:highlight w:val="yellow"/>
        </w:rPr>
        <w:t>CITE</w:t>
      </w:r>
      <w:r w:rsidR="00C95575">
        <w:t>)</w:t>
      </w:r>
      <w:r w:rsidRPr="00C96CDC">
        <w:t xml:space="preserve">. Each host population can be </w:t>
      </w:r>
      <w:r w:rsidR="00C95575">
        <w:t>stratified</w:t>
      </w:r>
      <w:r w:rsidRPr="00C96CDC">
        <w:t xml:space="preserve"> based on their respective infection status: susceptible humans (S</w:t>
      </w:r>
      <w:r w:rsidRPr="00C96CDC">
        <w:rPr>
          <w:vertAlign w:val="subscript"/>
        </w:rPr>
        <w:t>H</w:t>
      </w:r>
      <w:r w:rsidRPr="00C96CDC">
        <w:t>), humans infected with antibiotic-sensitive bacteria (I</w:t>
      </w:r>
      <w:r>
        <w:rPr>
          <w:vertAlign w:val="subscript"/>
        </w:rPr>
        <w:t>SH</w:t>
      </w:r>
      <w:r w:rsidRPr="00C96CDC">
        <w:t>),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4E499646" w:rsidR="008D5DB0" w:rsidRPr="00700145" w:rsidRDefault="0096269C" w:rsidP="00713317">
      <w:pPr>
        <w:pStyle w:val="NoSpacing"/>
        <w:spacing w:line="360" w:lineRule="auto"/>
        <w:jc w:val="center"/>
      </w:pPr>
      <w:r>
        <w:rPr>
          <w:noProof/>
          <w:lang w:eastAsia="en-GB"/>
        </w:rPr>
        <w:drawing>
          <wp:inline distT="0" distB="0" distL="0" distR="0" wp14:anchorId="3A28BF82" wp14:editId="6ECC8C3D">
            <wp:extent cx="5580168" cy="4719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0225" cy="4727716"/>
                    </a:xfrm>
                    <a:prstGeom prst="rect">
                      <a:avLst/>
                    </a:prstGeom>
                    <a:noFill/>
                  </pic:spPr>
                </pic:pic>
              </a:graphicData>
            </a:graphic>
          </wp:inline>
        </w:drawing>
      </w:r>
    </w:p>
    <w:p w14:paraId="21C9228F" w14:textId="60038452" w:rsidR="008D5DB0" w:rsidRDefault="008D5DB0" w:rsidP="008D5DB0">
      <w:pPr>
        <w:pStyle w:val="NoSpacing"/>
        <w:spacing w:line="360" w:lineRule="auto"/>
        <w:jc w:val="both"/>
        <w:rPr>
          <w:b/>
        </w:rPr>
      </w:pPr>
      <w:r>
        <w:rPr>
          <w:b/>
        </w:rPr>
        <w:t>Figure 1</w:t>
      </w:r>
      <w:r w:rsidRPr="00C10015">
        <w:rPr>
          <w:b/>
        </w:rPr>
        <w:t xml:space="preserve"> – </w:t>
      </w:r>
      <w:r w:rsidRPr="008F76B2">
        <w:rPr>
          <w:b/>
        </w:rPr>
        <w:t>Model structure describing the transmiss</w:t>
      </w:r>
      <w:r>
        <w:rPr>
          <w:b/>
        </w:rPr>
        <w:t>ion of foodborne pathogens between/within livestock and</w:t>
      </w:r>
      <w:r w:rsidRPr="008F76B2">
        <w:rPr>
          <w:b/>
        </w:rPr>
        <w:t xml:space="preserve"> human populations. </w:t>
      </w:r>
      <w:r w:rsidRPr="00DC6146">
        <w:rPr>
          <w:bCs/>
        </w:rPr>
        <w:t xml:space="preserve">Model equations and parameters can be found described in the </w:t>
      </w:r>
      <w:r w:rsidRPr="002F522E">
        <w:rPr>
          <w:bCs/>
        </w:rPr>
        <w:t>supplementary material (Table S2).</w:t>
      </w:r>
    </w:p>
    <w:p w14:paraId="01F8347B" w14:textId="77777777" w:rsidR="00E10347" w:rsidRDefault="00E10347" w:rsidP="008D5DB0">
      <w:pPr>
        <w:pStyle w:val="NoSpacing"/>
        <w:spacing w:line="360" w:lineRule="auto"/>
        <w:jc w:val="both"/>
      </w:pPr>
    </w:p>
    <w:p w14:paraId="411633BC" w14:textId="63AA2550" w:rsidR="00CE6631" w:rsidRDefault="008D5DB0" w:rsidP="008D5DB0">
      <w:pPr>
        <w:pStyle w:val="NoSpacing"/>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0" w:name="_Hlk517041147"/>
      <w:r>
        <w:t xml:space="preserve">each </w:t>
      </w:r>
      <w:r w:rsidRPr="004F75A3">
        <w:rPr>
          <w:rFonts w:cstheme="minorHAnsi"/>
          <w:i/>
          <w:iCs/>
        </w:rPr>
        <w:t>β</w:t>
      </w:r>
      <w:r>
        <w:t xml:space="preserve"> parameter linearly describing both indirect and direct transmission between compartments for model tractability.</w:t>
      </w:r>
      <w:bookmarkEnd w:id="0"/>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proofErr w:type="gramStart"/>
      <w:r>
        <w:rPr>
          <w:rFonts w:eastAsiaTheme="minorEastAsia"/>
          <w:iCs/>
        </w:rPr>
        <w:t>,</w:t>
      </w:r>
      <w:proofErr w:type="gramEnd"/>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other livestock or humans.</w:t>
      </w:r>
      <w:r w:rsidR="00C95575">
        <w:rPr>
          <w:rFonts w:eastAsiaTheme="minorEastAsia"/>
          <w:iCs/>
        </w:rPr>
        <w:t xml:space="preserve"> </w:t>
      </w:r>
    </w:p>
    <w:p w14:paraId="11665804" w14:textId="77777777" w:rsidR="00CE6631" w:rsidRDefault="00CE6631" w:rsidP="008D5DB0">
      <w:pPr>
        <w:pStyle w:val="NoSpacing"/>
        <w:spacing w:line="360" w:lineRule="auto"/>
        <w:jc w:val="both"/>
        <w:rPr>
          <w:rFonts w:eastAsiaTheme="minorEastAsia"/>
          <w:iCs/>
        </w:rPr>
      </w:pPr>
    </w:p>
    <w:p w14:paraId="1AD2AAD0" w14:textId="247E3A81" w:rsidR="00CE6631" w:rsidRDefault="00CE6631" w:rsidP="00CE6631">
      <w:pPr>
        <w:pStyle w:val="NoSpacing"/>
        <w:numPr>
          <w:ilvl w:val="0"/>
          <w:numId w:val="15"/>
        </w:numPr>
        <w:spacing w:line="360" w:lineRule="auto"/>
        <w:jc w:val="both"/>
        <w:rPr>
          <w:rFonts w:eastAsiaTheme="minorEastAsia"/>
          <w:iCs/>
        </w:rPr>
      </w:pPr>
      <w:r>
        <w:rPr>
          <w:rFonts w:eastAsiaTheme="minorEastAsia"/>
          <w:iCs/>
        </w:rPr>
        <w:t xml:space="preserve">The </w:t>
      </w:r>
      <w:r>
        <w:rPr>
          <w:rFonts w:eastAsiaTheme="minorEastAsia" w:cstheme="minorHAnsi"/>
          <w:iCs/>
        </w:rPr>
        <w:t>ζ</w:t>
      </w:r>
      <w:r>
        <w:rPr>
          <w:rFonts w:eastAsiaTheme="minorEastAsia"/>
          <w:iCs/>
        </w:rPr>
        <w:t xml:space="preserve"> parameter </w:t>
      </w:r>
      <w:proofErr w:type="gramStart"/>
      <w:r>
        <w:rPr>
          <w:rFonts w:eastAsiaTheme="minorEastAsia"/>
          <w:iCs/>
        </w:rPr>
        <w:t xml:space="preserve">was </w:t>
      </w:r>
      <w:r w:rsidRPr="00CE6631">
        <w:rPr>
          <w:rFonts w:eastAsiaTheme="minorEastAsia"/>
          <w:iCs/>
          <w:highlight w:val="yellow"/>
        </w:rPr>
        <w:t>multiplied</w:t>
      </w:r>
      <w:proofErr w:type="gramEnd"/>
      <w:r>
        <w:rPr>
          <w:rFonts w:eastAsiaTheme="minorEastAsia"/>
          <w:iCs/>
        </w:rPr>
        <w:t xml:space="preserve"> by a scaling factor of 0.5 to spread the influence of the background levels of transmission equally across antibiotic-resistant and antibiotic-sensitive transmission routes in livestock.</w:t>
      </w:r>
    </w:p>
    <w:p w14:paraId="6AFBE30D" w14:textId="77777777" w:rsidR="00CE6631" w:rsidRDefault="00CE6631" w:rsidP="008D5DB0">
      <w:pPr>
        <w:pStyle w:val="NoSpacing"/>
        <w:spacing w:line="360" w:lineRule="auto"/>
        <w:jc w:val="both"/>
        <w:rPr>
          <w:rFonts w:eastAsiaTheme="minorEastAsia"/>
          <w:iCs/>
        </w:rPr>
      </w:pPr>
    </w:p>
    <w:p w14:paraId="74925470" w14:textId="0BCB8C51" w:rsidR="00C95575" w:rsidRDefault="008D5DB0" w:rsidP="008D5DB0">
      <w:pPr>
        <w:pStyle w:val="NoSpacing"/>
        <w:spacing w:line="360" w:lineRule="auto"/>
        <w:jc w:val="both"/>
      </w:pP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11A4B37" w:rsidR="00B104B4" w:rsidRDefault="00B104B4" w:rsidP="00B104B4">
      <w:pPr>
        <w:pStyle w:val="NoSpacing"/>
        <w:spacing w:line="360" w:lineRule="auto"/>
        <w:jc w:val="both"/>
        <w:rPr>
          <w:rFonts w:cstheme="minorHAnsi"/>
        </w:rPr>
      </w:pPr>
      <w:r>
        <w:rPr>
          <w:rFonts w:cstheme="minorHAnsi"/>
        </w:rPr>
        <w:t>We use a simplified parameter</w:t>
      </w:r>
      <w:r w:rsidR="00C9190F">
        <w:rPr>
          <w:rFonts w:cstheme="minorHAnsi"/>
        </w:rPr>
        <w:t xml:space="preserve"> </w:t>
      </w:r>
      <w:r w:rsidR="00EE18B7">
        <w:rPr>
          <w:rFonts w:cstheme="minorHAnsi"/>
        </w:rPr>
        <w:t>(</w:t>
      </w:r>
      <w:r w:rsidRPr="00D67AE7">
        <w:rPr>
          <w:rFonts w:cstheme="minorHAnsi"/>
        </w:rPr>
        <w:t>τ</w:t>
      </w:r>
      <w:r w:rsidR="00EE18B7">
        <w:rPr>
          <w:rFonts w:cstheme="minorHAnsi"/>
        </w:rPr>
        <w:t>)</w:t>
      </w:r>
      <w:r>
        <w:rPr>
          <w:rFonts w:cstheme="minorHAnsi"/>
        </w:rPr>
        <w:t xml:space="preserve"> to describe the selective pressure and therapeutic effect of livestock antibiotic usage. We model the selective pressure of livestock antibiotics as a single transition rate, encompassing a range of evolutionary and biological phenomena that convert livestock between antibiotic-sensitive to resistant state</w:t>
      </w:r>
      <w:r w:rsidR="00EE18B7">
        <w:rPr>
          <w:rFonts w:cstheme="minorHAnsi"/>
        </w:rPr>
        <w:t>s</w:t>
      </w:r>
      <w:r>
        <w:rPr>
          <w:rFonts w:cstheme="minorHAnsi"/>
        </w:rPr>
        <w:t>. One plausible mechanism includes an implicit majority-minority relationship in each infected state, with livestock in each infected compartment possessing a small proportion of bacteria belonging to the other susceptibility class. Subsequent antibiotic usage may therefore remove antibiotic-sensitive bacteria (I</w:t>
      </w:r>
      <w:r w:rsidRPr="00F92596">
        <w:rPr>
          <w:rFonts w:cstheme="minorHAnsi"/>
          <w:vertAlign w:val="subscript"/>
        </w:rPr>
        <w:t>SA</w:t>
      </w:r>
      <w:r>
        <w:rPr>
          <w:rFonts w:cstheme="minorHAnsi"/>
        </w:rPr>
        <w:t>) and allow the minority antibiotic-resistant strain to proliferate and dominate (I</w:t>
      </w:r>
      <w:r w:rsidRPr="00BF1E9E">
        <w:rPr>
          <w:rFonts w:cstheme="minorHAnsi"/>
          <w:vertAlign w:val="subscript"/>
        </w:rPr>
        <w:t>RA</w:t>
      </w:r>
      <w:r>
        <w:rPr>
          <w:rFonts w:cstheme="minorHAnsi"/>
        </w:rPr>
        <w:t>) (</w:t>
      </w:r>
      <w:proofErr w:type="spellStart"/>
      <w:r w:rsidRPr="00886449">
        <w:rPr>
          <w:rFonts w:cstheme="minorHAnsi"/>
          <w:b/>
          <w:bCs/>
          <w:highlight w:val="yellow"/>
        </w:rPr>
        <w:t>Spicknall</w:t>
      </w:r>
      <w:proofErr w:type="spellEnd"/>
      <w:r w:rsidRPr="00886449">
        <w:rPr>
          <w:rFonts w:cstheme="minorHAnsi"/>
          <w:b/>
          <w:bCs/>
          <w:highlight w:val="yellow"/>
        </w:rPr>
        <w:t xml:space="preserve"> -</w:t>
      </w:r>
      <w:r>
        <w:rPr>
          <w:rFonts w:cstheme="minorHAnsi"/>
          <w:b/>
          <w:bCs/>
        </w:rPr>
        <w:t xml:space="preserve"> </w:t>
      </w:r>
      <w:r w:rsidRPr="00CD09DF">
        <w:rPr>
          <w:b/>
          <w:bCs/>
          <w:highlight w:val="yellow"/>
        </w:rPr>
        <w:t>CITE</w:t>
      </w:r>
      <w:r>
        <w:rPr>
          <w:rFonts w:cstheme="minorHAnsi"/>
        </w:rPr>
        <w:t xml:space="preserve">). We similarly model a single reversion parameter </w:t>
      </w:r>
      <w:r w:rsidR="00D67AE7">
        <w:rPr>
          <w:rFonts w:cstheme="minorHAnsi"/>
        </w:rPr>
        <w:t xml:space="preserve">(φ) </w:t>
      </w:r>
      <w:r>
        <w:rPr>
          <w:rFonts w:cstheme="minorHAnsi"/>
        </w:rPr>
        <w:t>to encompass a range of different biologically plausible phenomena that may cause reversion of antibiotic-resistant (I</w:t>
      </w:r>
      <w:r w:rsidRPr="00CA0775">
        <w:rPr>
          <w:rFonts w:cstheme="minorHAnsi"/>
          <w:vertAlign w:val="subscript"/>
        </w:rPr>
        <w:t>RA</w:t>
      </w:r>
      <w:r>
        <w:rPr>
          <w:rFonts w:cstheme="minorHAnsi"/>
        </w:rPr>
        <w:t>) to sensitive strains (I</w:t>
      </w:r>
      <w:r w:rsidRPr="00CA0775">
        <w:rPr>
          <w:rFonts w:cstheme="minorHAnsi"/>
          <w:vertAlign w:val="subscript"/>
        </w:rPr>
        <w:t>SA</w:t>
      </w:r>
      <w:r>
        <w:rPr>
          <w:rFonts w:cstheme="minorHAnsi"/>
        </w:rPr>
        <w:t xml:space="preserve">). This includes a relative fitness advantage of antibiotic-sensitive strains </w:t>
      </w:r>
      <w:r w:rsidRPr="00523448">
        <w:rPr>
          <w:rFonts w:cstheme="minorHAnsi"/>
        </w:rPr>
        <w:t xml:space="preserve">and the potential for resistant strains to gain compensatory mutations to reduce fitness </w:t>
      </w:r>
      <w:r w:rsidRPr="004A57A9">
        <w:rPr>
          <w:rFonts w:cstheme="minorHAnsi"/>
        </w:rPr>
        <w:t>costs</w:t>
      </w:r>
      <w:r>
        <w:rPr>
          <w:rFonts w:cstheme="minorHAnsi"/>
        </w:rPr>
        <w:t xml:space="preserve"> </w:t>
      </w:r>
      <w:r>
        <w:t>(</w:t>
      </w:r>
      <w:r w:rsidRPr="00CD09DF">
        <w:rPr>
          <w:b/>
          <w:bCs/>
          <w:highlight w:val="yellow"/>
        </w:rPr>
        <w:t>CITE</w:t>
      </w:r>
      <w:r>
        <w:t>)</w:t>
      </w:r>
      <w:r>
        <w:rPr>
          <w:rFonts w:cstheme="minorHAnsi"/>
        </w:rPr>
        <w:t xml:space="preserve">. </w:t>
      </w:r>
    </w:p>
    <w:p w14:paraId="066DA3B2" w14:textId="77777777" w:rsidR="00FD4CC1" w:rsidRDefault="00FD4CC1" w:rsidP="008D5DB0">
      <w:pPr>
        <w:pStyle w:val="NoSpacing"/>
        <w:spacing w:line="360" w:lineRule="auto"/>
        <w:jc w:val="both"/>
        <w:rPr>
          <w:rFonts w:eastAsiaTheme="minorEastAsia"/>
          <w:iCs/>
        </w:rPr>
      </w:pPr>
    </w:p>
    <w:p w14:paraId="19FAF69C" w14:textId="6ED05FCE" w:rsidR="008D5DB0" w:rsidRPr="003B3704" w:rsidRDefault="00E35039" w:rsidP="008D5DB0">
      <w:pPr>
        <w:pStyle w:val="NoSpacing"/>
        <w:spacing w:line="360" w:lineRule="auto"/>
        <w:jc w:val="both"/>
        <w:rPr>
          <w:rFonts w:eastAsiaTheme="minorEastAsia"/>
          <w:iCs/>
        </w:rPr>
      </w:pPr>
      <w:r>
        <w:rPr>
          <w:rFonts w:eastAsiaTheme="minorEastAsia"/>
          <w:iCs/>
        </w:rPr>
        <w:t xml:space="preserve"> We note that it</w:t>
      </w:r>
      <w:r w:rsidR="008D5DB0">
        <w:rPr>
          <w:rFonts w:eastAsiaTheme="minorEastAsia"/>
          <w:iCs/>
        </w:rPr>
        <w:t xml:space="preserve"> was beyond the scope of this study to </w:t>
      </w:r>
      <w:r>
        <w:rPr>
          <w:rFonts w:eastAsiaTheme="minorEastAsia"/>
          <w:iCs/>
        </w:rPr>
        <w:t>explicitly</w:t>
      </w:r>
      <w:r w:rsidR="008D5DB0">
        <w:rPr>
          <w:rFonts w:eastAsiaTheme="minorEastAsia"/>
          <w:iCs/>
        </w:rPr>
        <w:t xml:space="preserve"> model these dynamics, rather we describe and acknowledge the </w:t>
      </w:r>
      <w:r w:rsidR="008D5DB0" w:rsidRPr="003B3704">
        <w:rPr>
          <w:rFonts w:eastAsiaTheme="minorEastAsia"/>
          <w:i/>
        </w:rPr>
        <w:t>existence</w:t>
      </w:r>
      <w:r w:rsidR="008D5DB0">
        <w:rPr>
          <w:rFonts w:eastAsiaTheme="minorEastAsia"/>
          <w:iCs/>
        </w:rPr>
        <w:t xml:space="preserve"> of bidirectional resistance conversion though th</w:t>
      </w:r>
      <w:r>
        <w:rPr>
          <w:rFonts w:eastAsiaTheme="minorEastAsia"/>
          <w:iCs/>
        </w:rPr>
        <w:t>ese</w:t>
      </w:r>
      <w:r w:rsidR="008D5DB0">
        <w:rPr>
          <w:rFonts w:eastAsiaTheme="minorEastAsia"/>
          <w:iCs/>
        </w:rPr>
        <w:t xml:space="preserve"> simplified </w:t>
      </w:r>
      <w:r w:rsidR="008D5DB0" w:rsidRPr="00B61C77">
        <w:rPr>
          <w:rFonts w:eastAsiaTheme="minorEastAsia" w:cstheme="minorHAnsi"/>
          <w:i/>
        </w:rPr>
        <w:t>φ</w:t>
      </w:r>
      <w:r>
        <w:rPr>
          <w:rFonts w:eastAsiaTheme="minorEastAsia" w:cstheme="minorHAnsi"/>
          <w:i/>
        </w:rPr>
        <w:t xml:space="preserve"> and </w:t>
      </w:r>
      <w:r w:rsidRPr="00F92596">
        <w:rPr>
          <w:rFonts w:cstheme="minorHAnsi"/>
          <w:i/>
          <w:iCs/>
        </w:rPr>
        <w:t>τ</w:t>
      </w:r>
      <w:r w:rsidR="008D5DB0">
        <w:rPr>
          <w:rFonts w:eastAsiaTheme="minorEastAsia"/>
          <w:iCs/>
        </w:rPr>
        <w:t xml:space="preserve"> parameter</w:t>
      </w:r>
      <w:r>
        <w:rPr>
          <w:rFonts w:eastAsiaTheme="minorEastAsia"/>
          <w:iCs/>
        </w:rPr>
        <w:t>s</w:t>
      </w:r>
      <w:r w:rsidR="008D5DB0">
        <w:rPr>
          <w:rFonts w:eastAsiaTheme="minorEastAsia"/>
          <w:iCs/>
        </w:rPr>
        <w:t xml:space="preserve"> (</w:t>
      </w:r>
      <w:r w:rsidR="008D5DB0" w:rsidRPr="00B61C77">
        <w:rPr>
          <w:rFonts w:eastAsiaTheme="minorEastAsia"/>
          <w:b/>
          <w:bCs/>
          <w:iCs/>
          <w:highlight w:val="yellow"/>
        </w:rPr>
        <w:t xml:space="preserve">SPICKNALL </w:t>
      </w:r>
      <w:r w:rsidR="00CD09DF" w:rsidRPr="00B61C77">
        <w:rPr>
          <w:b/>
          <w:bCs/>
          <w:highlight w:val="yellow"/>
        </w:rPr>
        <w:t>CITE</w:t>
      </w:r>
      <w:r w:rsidR="008D5DB0">
        <w:rPr>
          <w:rFonts w:eastAsiaTheme="minorEastAsia"/>
          <w:iCs/>
        </w:rPr>
        <w:t>). Additionally, we note that modelling within-host strain dynamics or dual-strain colonisation was beyond the scope of this study, therefore resistance was modelled as a binary phenomenon within both livestock and humans (</w:t>
      </w:r>
      <w:r w:rsidR="00CD09DF" w:rsidRPr="00B61C77">
        <w:rPr>
          <w:rFonts w:eastAsiaTheme="minorEastAsia"/>
          <w:b/>
          <w:bCs/>
          <w:iCs/>
          <w:highlight w:val="yellow"/>
        </w:rPr>
        <w:t xml:space="preserve">null neutral model - </w:t>
      </w:r>
      <w:r w:rsidR="00CD09DF" w:rsidRPr="00B61C77">
        <w:rPr>
          <w:b/>
          <w:bCs/>
          <w:highlight w:val="yellow"/>
        </w:rPr>
        <w:t>CITE</w:t>
      </w:r>
      <w:r w:rsidR="00CD09DF">
        <w:t>)</w:t>
      </w:r>
      <w:r w:rsidR="008D5DB0">
        <w:rPr>
          <w:rFonts w:eastAsiaTheme="minorEastAsia"/>
          <w:iCs/>
        </w:rPr>
        <w:t>.</w:t>
      </w:r>
    </w:p>
    <w:p w14:paraId="4BD38E52" w14:textId="77777777" w:rsidR="008D5DB0" w:rsidRDefault="008D5DB0" w:rsidP="008D5DB0">
      <w:pPr>
        <w:pStyle w:val="NoSpacing"/>
        <w:spacing w:line="360" w:lineRule="auto"/>
        <w:jc w:val="both"/>
        <w:rPr>
          <w:rFonts w:eastAsiaTheme="minorEastAsia"/>
          <w:iCs/>
        </w:rPr>
      </w:pPr>
    </w:p>
    <w:p w14:paraId="0E07BCDA" w14:textId="19971EA6" w:rsidR="008D5DB0" w:rsidRDefault="008D5DB0" w:rsidP="008D5DB0">
      <w:pPr>
        <w:pStyle w:val="NoSpacing"/>
        <w:spacing w:line="360" w:lineRule="auto"/>
        <w:jc w:val="both"/>
        <w:rPr>
          <w:rFonts w:eastAsiaTheme="minorEastAsia"/>
          <w:iCs/>
        </w:rPr>
      </w:pPr>
      <w:r>
        <w:rPr>
          <w:rFonts w:eastAsiaTheme="minorEastAsia"/>
          <w:iCs/>
        </w:rPr>
        <w:lastRenderedPageBreak/>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 xml:space="preserve">Transmission-related fitness costs associated with antibiotic-resistance were included and </w:t>
      </w:r>
      <w:proofErr w:type="gramStart"/>
      <w:r>
        <w:rPr>
          <w:rFonts w:eastAsiaTheme="minorEastAsia"/>
          <w:iCs/>
        </w:rPr>
        <w:t>were assumed</w:t>
      </w:r>
      <w:proofErr w:type="gramEnd"/>
      <w:r>
        <w:rPr>
          <w:rFonts w:eastAsiaTheme="minorEastAsia"/>
          <w:iCs/>
        </w:rPr>
        <w:t xml:space="preserve"> to reduce the rate of transmission for antibiotic-resistant bacteria as a scaling factor (</w:t>
      </w:r>
      <w:r w:rsidRPr="00D67AE7">
        <w:rPr>
          <w:rFonts w:eastAsiaTheme="minorEastAsia" w:cstheme="minorHAnsi"/>
          <w:iCs/>
        </w:rPr>
        <w:t>α</w:t>
      </w:r>
      <w:r>
        <w:rPr>
          <w:rFonts w:eastAsiaTheme="minorEastAsia"/>
          <w:iCs/>
        </w:rPr>
        <w:t xml:space="preserve">) </w:t>
      </w:r>
      <w:r w:rsidR="00CD09DF">
        <w:t>(</w:t>
      </w:r>
      <w:r w:rsidR="00CD09DF" w:rsidRPr="00CD09DF">
        <w:rPr>
          <w:b/>
          <w:bCs/>
          <w:highlight w:val="yellow"/>
        </w:rPr>
        <w:t>CITE</w:t>
      </w:r>
      <w:r w:rsidR="00CD09DF">
        <w:t>)</w:t>
      </w:r>
      <w:r>
        <w:rPr>
          <w:rFonts w:eastAsiaTheme="minorEastAsia"/>
          <w:iCs/>
        </w:rPr>
        <w:t xml:space="preserve">. </w:t>
      </w:r>
    </w:p>
    <w:p w14:paraId="557F95D7" w14:textId="77777777" w:rsidR="00CE6631" w:rsidRDefault="00CE6631" w:rsidP="008D5DB0">
      <w:pPr>
        <w:pStyle w:val="NoSpacing"/>
        <w:spacing w:line="360" w:lineRule="auto"/>
        <w:jc w:val="both"/>
        <w:rPr>
          <w:rFonts w:eastAsiaTheme="minorEastAsia"/>
          <w:iCs/>
        </w:rPr>
      </w:pPr>
    </w:p>
    <w:p w14:paraId="1D1C0A4A" w14:textId="77777777" w:rsidR="00C02277" w:rsidRDefault="008D5DB0" w:rsidP="008D5DB0">
      <w:pPr>
        <w:pStyle w:val="NoSpacing"/>
        <w:spacing w:line="360" w:lineRule="auto"/>
        <w:jc w:val="both"/>
        <w:rPr>
          <w:rFonts w:eastAsiaTheme="minorEastAsia" w:cstheme="minorHAnsi"/>
          <w:iCs/>
        </w:rPr>
      </w:pPr>
      <w:proofErr w:type="gramStart"/>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C02277">
        <w:rPr>
          <w:rFonts w:eastAsiaTheme="minorEastAsia" w:cstheme="minorHAnsi"/>
          <w:iCs/>
        </w:rPr>
        <w:t xml:space="preserve">non </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 xml:space="preserve">per 100,000 population </w:t>
      </w:r>
      <w:r w:rsidR="00C02277">
        <w:rPr>
          <w:rFonts w:eastAsiaTheme="minorEastAsia" w:cstheme="minorHAnsi"/>
          <w:iCs/>
        </w:rPr>
        <w:t xml:space="preserve">in the EU </w:t>
      </w:r>
      <w:r w:rsidRPr="002671DD">
        <w:rPr>
          <w:rFonts w:eastAsiaTheme="minorEastAsia" w:cstheme="minorHAnsi"/>
          <w:iCs/>
        </w:rPr>
        <w:t>(I</w:t>
      </w:r>
      <w:r w:rsidR="00E35039" w:rsidRPr="002671DD">
        <w:rPr>
          <w:rFonts w:eastAsiaTheme="minorEastAsia" w:cstheme="minorHAnsi"/>
          <w:iCs/>
          <w:vertAlign w:val="superscript"/>
        </w:rPr>
        <w:t>*</w:t>
      </w:r>
      <w:r w:rsidRPr="002671DD">
        <w:rPr>
          <w:rFonts w:eastAsiaTheme="minorEastAsia" w:cstheme="minorHAnsi"/>
          <w:iCs/>
          <w:vertAlign w:val="subscript"/>
        </w:rPr>
        <w:t>H</w:t>
      </w:r>
      <w:r w:rsidRPr="002671DD">
        <w:rPr>
          <w:rFonts w:eastAsiaTheme="minorEastAsia" w:cstheme="minorHAnsi"/>
          <w:iCs/>
        </w:rPr>
        <w:t>)</w:t>
      </w:r>
      <w:r w:rsidR="00E35039" w:rsidRPr="002671DD">
        <w:rPr>
          <w:rFonts w:eastAsiaTheme="minorEastAsia" w:cstheme="minorHAnsi"/>
          <w:iCs/>
        </w:rPr>
        <w:t>, defined as the sum of I</w:t>
      </w:r>
      <w:r w:rsidR="00E35039" w:rsidRPr="002671DD">
        <w:rPr>
          <w:rFonts w:eastAsiaTheme="minorEastAsia" w:cstheme="minorHAnsi"/>
          <w:iCs/>
          <w:vertAlign w:val="subscript"/>
        </w:rPr>
        <w:t>SH</w:t>
      </w:r>
      <w:r w:rsidR="00E35039" w:rsidRPr="002671DD">
        <w:rPr>
          <w:rFonts w:eastAsiaTheme="minorEastAsia" w:cstheme="minorHAnsi"/>
          <w:iCs/>
        </w:rPr>
        <w:t xml:space="preserve"> and I</w:t>
      </w:r>
      <w:r w:rsidR="00E35039" w:rsidRPr="002671DD">
        <w:rPr>
          <w:rFonts w:eastAsiaTheme="minorEastAsia" w:cstheme="minorHAnsi"/>
          <w:iCs/>
          <w:vertAlign w:val="subscript"/>
        </w:rPr>
        <w:t>RH</w:t>
      </w:r>
      <w:r w:rsidR="00E35039" w:rsidRPr="002671DD">
        <w:rPr>
          <w:rFonts w:eastAsiaTheme="minorEastAsia" w:cstheme="minorHAnsi"/>
          <w:iCs/>
        </w:rPr>
        <w:t xml:space="preserve"> compartments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 </w:t>
      </w:r>
      <w:r w:rsidR="00C27CC4" w:rsidRPr="002671DD">
        <w:rPr>
          <w:rFonts w:eastAsiaTheme="minorEastAsia" w:cstheme="minorHAnsi"/>
          <w:iCs/>
        </w:rPr>
        <w:t xml:space="preserve">and </w:t>
      </w:r>
      <w:r w:rsidR="00E35039" w:rsidRPr="002671DD">
        <w:rPr>
          <w:rFonts w:eastAsiaTheme="minorEastAsia" w:cstheme="minorHAnsi"/>
          <w:iCs/>
        </w:rPr>
        <w:t>2)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w:t>
      </w:r>
      <w:proofErr w:type="spellStart"/>
      <w:r w:rsidR="00C02277">
        <w:rPr>
          <w:rFonts w:eastAsiaTheme="minorEastAsia" w:cstheme="minorHAnsi"/>
          <w:iCs/>
        </w:rPr>
        <w:t>typhoidal</w:t>
      </w:r>
      <w:proofErr w:type="spellEnd"/>
      <w:r w:rsidR="00C02277">
        <w:rPr>
          <w:rFonts w:eastAsiaTheme="minorEastAsia" w:cstheme="minorHAnsi"/>
          <w:iCs/>
        </w:rPr>
        <w:t xml:space="preserve">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proofErr w:type="spellStart"/>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proofErr w:type="spellEnd"/>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 </w:t>
      </w:r>
      <w:r w:rsidR="00C27CC4" w:rsidRPr="002671DD">
        <w:rPr>
          <w:rFonts w:eastAsiaTheme="minorEastAsia" w:cstheme="minorHAnsi"/>
          <w:iCs/>
        </w:rPr>
        <w:t>I</w:t>
      </w:r>
      <w:r w:rsidR="00C27CC4" w:rsidRPr="002671DD">
        <w:rPr>
          <w:rFonts w:eastAsiaTheme="minorEastAsia" w:cstheme="minorHAnsi"/>
          <w:iCs/>
          <w:vertAlign w:val="superscript"/>
        </w:rPr>
        <w:t>*</w:t>
      </w:r>
      <w:r w:rsidR="00C27CC4" w:rsidRPr="002671DD">
        <w:rPr>
          <w:rFonts w:eastAsiaTheme="minorEastAsia" w:cstheme="minorHAnsi"/>
          <w:iCs/>
          <w:vertAlign w:val="subscript"/>
        </w:rPr>
        <w:t>H</w:t>
      </w:r>
      <w:r w:rsidR="00C02277">
        <w:rPr>
          <w:rFonts w:eastAsiaTheme="minorEastAsia" w:cstheme="minorHAnsi"/>
          <w:iCs/>
        </w:rPr>
        <w:t xml:space="preserve"> at the </w:t>
      </w:r>
      <w:r w:rsidR="00C02277" w:rsidRPr="002671DD">
        <w:rPr>
          <w:rFonts w:eastAsiaTheme="minorEastAsia" w:cstheme="minorHAnsi"/>
          <w:iCs/>
        </w:rPr>
        <w:t>long-term</w:t>
      </w:r>
      <w:r w:rsidR="00C02277">
        <w:rPr>
          <w:rFonts w:eastAsiaTheme="minorEastAsia" w:cstheme="minorHAnsi"/>
          <w:iCs/>
        </w:rPr>
        <w:t xml:space="preserve"> non-zero steady state</w:t>
      </w:r>
      <w:r w:rsidRPr="002671DD">
        <w:rPr>
          <w:rFonts w:eastAsiaTheme="minorEastAsia" w:cstheme="minorHAnsi"/>
          <w:iCs/>
        </w:rPr>
        <w:t>.</w:t>
      </w:r>
      <w:proofErr w:type="gramEnd"/>
      <w:r w:rsidRPr="002671DD">
        <w:rPr>
          <w:rFonts w:eastAsiaTheme="minorEastAsia" w:cstheme="minorHAnsi"/>
          <w:iCs/>
        </w:rPr>
        <w:t xml:space="preserve"> </w:t>
      </w:r>
    </w:p>
    <w:p w14:paraId="0031EAD0" w14:textId="77777777" w:rsidR="00C02277" w:rsidRDefault="00C02277" w:rsidP="008D5DB0">
      <w:pPr>
        <w:pStyle w:val="NoSpacing"/>
        <w:spacing w:line="360" w:lineRule="auto"/>
        <w:jc w:val="both"/>
        <w:rPr>
          <w:rFonts w:eastAsiaTheme="minorEastAsia" w:cstheme="minorHAnsi"/>
          <w:iCs/>
        </w:rPr>
      </w:pPr>
    </w:p>
    <w:p w14:paraId="12CBFCAA" w14:textId="484BCC63" w:rsidR="00C02277" w:rsidRDefault="00C02277" w:rsidP="00C02277">
      <w:pPr>
        <w:pStyle w:val="NoSpacing"/>
        <w:numPr>
          <w:ilvl w:val="0"/>
          <w:numId w:val="13"/>
        </w:numPr>
        <w:spacing w:line="360" w:lineRule="auto"/>
        <w:jc w:val="both"/>
        <w:rPr>
          <w:rFonts w:eastAsiaTheme="minorEastAsia" w:cstheme="minorHAnsi"/>
          <w:iCs/>
        </w:rPr>
      </w:pPr>
      <w:r>
        <w:rPr>
          <w:rFonts w:eastAsiaTheme="minorEastAsia" w:cstheme="minorHAnsi"/>
          <w:iCs/>
        </w:rPr>
        <w:t xml:space="preserve">Might need to change the symbol for incidence to </w:t>
      </w:r>
      <w:r w:rsidR="00F115B2">
        <w:rPr>
          <w:rFonts w:eastAsiaTheme="minorEastAsia" w:cstheme="minorHAnsi"/>
          <w:iCs/>
        </w:rPr>
        <w:t xml:space="preserve">something else – as previous symbol we had was something for </w:t>
      </w:r>
      <w:r>
        <w:rPr>
          <w:rFonts w:eastAsiaTheme="minorEastAsia" w:cstheme="minorHAnsi"/>
          <w:iCs/>
        </w:rPr>
        <w:t xml:space="preserve">the prevalence.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08911F05"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t>
      </w:r>
      <w:proofErr w:type="gramStart"/>
      <w:r w:rsidRPr="002671DD">
        <w:rPr>
          <w:rFonts w:eastAsiaTheme="minorEastAsia" w:cstheme="minorHAnsi"/>
          <w:iCs/>
        </w:rPr>
        <w:t>was calculated</w:t>
      </w:r>
      <w:proofErr w:type="gramEnd"/>
      <w:r w:rsidRPr="002671DD">
        <w:rPr>
          <w:rFonts w:eastAsiaTheme="minorEastAsia" w:cstheme="minorHAnsi"/>
          <w:iCs/>
        </w:rPr>
        <w:t xml:space="preserve">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which dynamically solves the ODEs numerically until the calculated derivatives are determined to be at steady state.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761B80" w:rsidRPr="002F522E">
        <w:rPr>
          <w:rFonts w:eastAsiaTheme="minorEastAsia" w:cstheme="minorHAnsi"/>
          <w:iCs/>
        </w:rPr>
        <w:t xml:space="preserve">dynamics of AMR prevalence </w:t>
      </w:r>
      <w:r w:rsidR="00917831" w:rsidRPr="002F522E">
        <w:rPr>
          <w:rFonts w:eastAsiaTheme="minorEastAsia" w:cstheme="minorHAnsi"/>
          <w:iCs/>
        </w:rPr>
        <w:t>are</w:t>
      </w:r>
      <w:r w:rsidR="002135EA" w:rsidRPr="002F522E">
        <w:rPr>
          <w:rFonts w:eastAsiaTheme="minorEastAsia" w:cstheme="minorHAnsi"/>
          <w:iCs/>
        </w:rPr>
        <w:t xml:space="preserve"> in flux</w:t>
      </w:r>
      <w:r w:rsidR="00917831" w:rsidRPr="002F522E">
        <w:rPr>
          <w:rFonts w:eastAsiaTheme="minorEastAsia" w:cstheme="minorHAnsi"/>
          <w:iCs/>
        </w:rPr>
        <w:t xml:space="preserve"> due to the influence of ongoing</w:t>
      </w:r>
      <w:r w:rsidR="00917831">
        <w:rPr>
          <w:rFonts w:eastAsiaTheme="minorEastAsia" w:cstheme="minorHAnsi"/>
          <w:iCs/>
        </w:rPr>
        <w:t xml:space="preserve"> interventions</w:t>
      </w:r>
      <w:r w:rsidR="002135EA">
        <w:rPr>
          <w:rFonts w:eastAsiaTheme="minorEastAsia" w:cstheme="minorHAnsi"/>
          <w:iCs/>
        </w:rPr>
        <w:t xml:space="preserve">, studying it at equilbrium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w:t>
      </w:r>
      <w:r w:rsidR="00761B80">
        <w:rPr>
          <w:rFonts w:eastAsiaTheme="minorEastAsia" w:cstheme="minorHAnsi"/>
          <w:iCs/>
        </w:rPr>
        <w:t xml:space="preserve"> (</w:t>
      </w:r>
      <w:r w:rsidR="00761B80" w:rsidRPr="00761B80">
        <w:rPr>
          <w:rFonts w:eastAsiaTheme="minorEastAsia" w:cstheme="minorHAnsi"/>
          <w:b/>
          <w:bCs/>
          <w:iCs/>
          <w:highlight w:val="yellow"/>
        </w:rPr>
        <w:t>cite</w:t>
      </w:r>
      <w:r w:rsidR="00761B80">
        <w:rPr>
          <w:rFonts w:eastAsiaTheme="minorEastAsia" w:cstheme="minorHAnsi"/>
          <w:iCs/>
        </w:rPr>
        <w:t>)</w:t>
      </w:r>
      <w:r w:rsidR="002135EA">
        <w:rPr>
          <w:rFonts w:eastAsiaTheme="minorEastAsia" w:cstheme="minorHAnsi"/>
          <w:iCs/>
        </w:rPr>
        <w:t xml:space="preserve">. This is supported by temporal surveillance data which suggests that </w:t>
      </w:r>
      <w:r w:rsidR="00761B80">
        <w:rPr>
          <w:rFonts w:eastAsiaTheme="minorEastAsia" w:cstheme="minorHAnsi"/>
          <w:iCs/>
        </w:rPr>
        <w:t>intervention-induced changes in the proportion of antibiotic resistance in populations tend to stabilise at a relatively constant levels in the absence of any further interventions</w:t>
      </w:r>
      <w:r w:rsidR="00EE18B7">
        <w:rPr>
          <w:rFonts w:eastAsiaTheme="minorEastAsia" w:cstheme="minorHAnsi"/>
          <w:iCs/>
        </w:rPr>
        <w:t xml:space="preserve"> (</w:t>
      </w:r>
      <w:r w:rsidR="00EE18B7" w:rsidRPr="00761B80">
        <w:rPr>
          <w:rFonts w:eastAsiaTheme="minorEastAsia" w:cstheme="minorHAnsi"/>
          <w:b/>
          <w:bCs/>
          <w:iCs/>
          <w:highlight w:val="yellow"/>
        </w:rPr>
        <w:t>cite</w:t>
      </w:r>
      <w:r w:rsidR="00EE18B7">
        <w:rPr>
          <w:rFonts w:eastAsiaTheme="minorEastAsia" w:cstheme="minorHAnsi"/>
          <w:iCs/>
        </w:rPr>
        <w:t>)</w:t>
      </w:r>
      <w:r w:rsidR="00761B80">
        <w:rPr>
          <w:rFonts w:eastAsiaTheme="minorEastAsia" w:cstheme="minorHAnsi"/>
          <w:iCs/>
        </w:rPr>
        <w:t>.</w:t>
      </w:r>
      <w:r w:rsidR="005350CF">
        <w:rPr>
          <w:rFonts w:eastAsiaTheme="minorEastAsia" w:cstheme="minorHAnsi"/>
          <w:iCs/>
        </w:rPr>
        <w:t xml:space="preserve"> This is especially the case for resistant </w:t>
      </w:r>
      <w:r w:rsidR="005350CF" w:rsidRPr="00EE18B7">
        <w:rPr>
          <w:rFonts w:eastAsiaTheme="minorEastAsia" w:cstheme="minorHAnsi"/>
          <w:i/>
        </w:rPr>
        <w:t>Salmonella</w:t>
      </w:r>
      <w:r w:rsidR="005350CF">
        <w:rPr>
          <w:rFonts w:eastAsiaTheme="minorEastAsia" w:cstheme="minorHAnsi"/>
          <w:iCs/>
        </w:rPr>
        <w:t xml:space="preserve"> </w:t>
      </w:r>
      <w:r w:rsidR="00EE18B7">
        <w:rPr>
          <w:rFonts w:eastAsiaTheme="minorEastAsia" w:cstheme="minorHAnsi"/>
          <w:iCs/>
        </w:rPr>
        <w:t xml:space="preserve">spp. </w:t>
      </w:r>
      <w:r w:rsidR="005350CF">
        <w:rPr>
          <w:rFonts w:eastAsiaTheme="minorEastAsia" w:cstheme="minorHAnsi"/>
          <w:iCs/>
        </w:rPr>
        <w:t xml:space="preserve">infections, with a short duration of infectious </w:t>
      </w:r>
      <w:r w:rsidR="00885806">
        <w:rPr>
          <w:rFonts w:eastAsiaTheme="minorEastAsia" w:cstheme="minorHAnsi"/>
          <w:iCs/>
        </w:rPr>
        <w:t xml:space="preserve">human </w:t>
      </w:r>
      <w:r w:rsidR="005350CF">
        <w:rPr>
          <w:rFonts w:eastAsiaTheme="minorEastAsia" w:cstheme="minorHAnsi"/>
          <w:iCs/>
        </w:rPr>
        <w:t>carriage (1/</w:t>
      </w:r>
      <w:proofErr w:type="spellStart"/>
      <w:r w:rsidR="005350CF">
        <w:rPr>
          <w:rFonts w:eastAsiaTheme="minorEastAsia" w:cstheme="minorHAnsi"/>
          <w:iCs/>
        </w:rPr>
        <w:t>r</w:t>
      </w:r>
      <w:r w:rsidR="005350CF" w:rsidRPr="005350CF">
        <w:rPr>
          <w:rFonts w:eastAsiaTheme="minorEastAsia" w:cstheme="minorHAnsi"/>
          <w:iCs/>
          <w:vertAlign w:val="subscript"/>
        </w:rPr>
        <w:t>H</w:t>
      </w:r>
      <w:proofErr w:type="spellEnd"/>
      <w:r w:rsidR="005350CF">
        <w:rPr>
          <w:rFonts w:eastAsiaTheme="minorEastAsia" w:cstheme="minorHAnsi"/>
          <w:iCs/>
        </w:rPr>
        <w:t>)</w:t>
      </w:r>
      <w:r w:rsidR="00885806">
        <w:rPr>
          <w:rFonts w:eastAsiaTheme="minorEastAsia" w:cstheme="minorHAnsi"/>
          <w:iCs/>
        </w:rPr>
        <w:t>,</w:t>
      </w:r>
      <w:r w:rsidR="005350CF">
        <w:rPr>
          <w:rFonts w:eastAsiaTheme="minorEastAsia" w:cstheme="minorHAnsi"/>
          <w:iCs/>
        </w:rPr>
        <w:t xml:space="preserve"> facilitating a rapid approach to equilbrium.</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77777777" w:rsidR="008D5DB0" w:rsidRDefault="008D5DB0" w:rsidP="008D5DB0">
      <w:pPr>
        <w:pStyle w:val="NoSpacing"/>
        <w:numPr>
          <w:ilvl w:val="0"/>
          <w:numId w:val="2"/>
        </w:numPr>
        <w:spacing w:line="360" w:lineRule="auto"/>
        <w:jc w:val="both"/>
        <w:rPr>
          <w:rFonts w:eastAsiaTheme="minorEastAsia"/>
          <w:b/>
          <w:iCs/>
          <w:u w:val="single"/>
        </w:rPr>
      </w:pPr>
      <w:r>
        <w:rPr>
          <w:rFonts w:eastAsiaTheme="minorEastAsia"/>
          <w:b/>
          <w:iCs/>
          <w:u w:val="single"/>
        </w:rPr>
        <w:t xml:space="preserve">Case Study and Model Parameterisation </w:t>
      </w:r>
    </w:p>
    <w:p w14:paraId="25842CA7" w14:textId="314EA5E4"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9750B1">
        <w:rPr>
          <w:rFonts w:cstheme="minorHAnsi"/>
        </w:rPr>
        <w:t>given the data,</w:t>
      </w:r>
      <w:r w:rsidR="00491943">
        <w:rPr>
          <w:rFonts w:cstheme="minorHAnsi"/>
        </w:rPr>
        <w:t xml:space="preserve"> </w:t>
      </w:r>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A339C8">
        <w:rPr>
          <w:rFonts w:cstheme="minorHAnsi"/>
        </w:rPr>
        <w:t>and pseudo-code of</w:t>
      </w:r>
      <w:r w:rsidR="00BA0A5B">
        <w:rPr>
          <w:rFonts w:cstheme="minorHAnsi"/>
        </w:rPr>
        <w:t xml:space="preserve"> the ABC-SMC approach can be found in </w:t>
      </w:r>
      <w:r w:rsidR="00BA0A5B" w:rsidRPr="002F522E">
        <w:rPr>
          <w:rFonts w:cstheme="minorHAnsi"/>
          <w:b/>
          <w:bCs/>
          <w:highlight w:val="yellow"/>
        </w:rPr>
        <w:t>Toni et al, (2009)</w:t>
      </w:r>
      <w:r w:rsidR="00BA0A5B">
        <w:rPr>
          <w:rFonts w:cstheme="minorHAnsi"/>
        </w:rPr>
        <w:t xml:space="preserve">. </w:t>
      </w:r>
    </w:p>
    <w:p w14:paraId="5D460D03" w14:textId="77777777" w:rsidR="009D5B4C" w:rsidRDefault="009D5B4C" w:rsidP="008D5DB0">
      <w:pPr>
        <w:pStyle w:val="NoSpacing"/>
        <w:spacing w:line="360" w:lineRule="auto"/>
        <w:jc w:val="both"/>
        <w:rPr>
          <w:rFonts w:cstheme="minorHAnsi"/>
        </w:rPr>
      </w:pPr>
    </w:p>
    <w:p w14:paraId="47A5EE81" w14:textId="25F77534" w:rsidR="00BA0A5B" w:rsidRPr="00BA0A5B" w:rsidRDefault="00BA0A5B" w:rsidP="008D5DB0">
      <w:pPr>
        <w:pStyle w:val="NoSpacing"/>
        <w:spacing w:line="360" w:lineRule="auto"/>
        <w:jc w:val="both"/>
        <w:rPr>
          <w:rFonts w:cstheme="minorHAnsi"/>
          <w:b/>
          <w:bCs/>
          <w:u w:val="single"/>
        </w:rPr>
      </w:pPr>
      <w:r w:rsidRPr="00BA0A5B">
        <w:rPr>
          <w:rFonts w:cstheme="minorHAnsi"/>
          <w:b/>
          <w:bCs/>
          <w:u w:val="single"/>
        </w:rPr>
        <w:t>Livestock Distance Function</w:t>
      </w:r>
    </w:p>
    <w:p w14:paraId="2A0DBAFF" w14:textId="77777777" w:rsidR="00CE6631" w:rsidRDefault="000D2A47" w:rsidP="00C02277">
      <w:pPr>
        <w:pStyle w:val="NoSpacing"/>
        <w:spacing w:line="360" w:lineRule="auto"/>
        <w:jc w:val="both"/>
        <w:rPr>
          <w:rFonts w:eastAsiaTheme="minorEastAsia"/>
          <w:iCs/>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vertAlign w:val="subscript"/>
        </w:rPr>
        <w:t>H</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r w:rsidR="00491943" w:rsidRPr="002671DD">
        <w:rPr>
          <w:rFonts w:eastAsiaTheme="minorEastAsia" w:cstheme="minorHAnsi"/>
          <w:iCs/>
          <w:vertAlign w:val="subscript"/>
        </w:rPr>
        <w:t>RHProp</w:t>
      </w:r>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w:t>
      </w:r>
      <w:r w:rsidR="0069727F">
        <w:rPr>
          <w:rFonts w:cstheme="minorHAnsi"/>
        </w:rPr>
        <w:lastRenderedPageBreak/>
        <w:t>resistant livestock infection</w:t>
      </w:r>
      <w:r w:rsidR="00F86AAC">
        <w:rPr>
          <w:rFonts w:cstheme="minorHAnsi"/>
        </w:rPr>
        <w:t xml:space="preserve">. </w:t>
      </w:r>
      <w:r w:rsidR="00B9105F">
        <w:rPr>
          <w:rFonts w:cstheme="minorHAnsi"/>
        </w:rPr>
        <w:t xml:space="preserve">We can fit this livestock </w:t>
      </w:r>
      <w:r w:rsidR="00EE18B7">
        <w:rPr>
          <w:rFonts w:cstheme="minorHAnsi"/>
        </w:rPr>
        <w:t>portion</w:t>
      </w:r>
      <w:r w:rsidR="00B9105F">
        <w:rPr>
          <w:rFonts w:cstheme="minorHAnsi"/>
        </w:rPr>
        <w:t xml:space="preserve"> of the model to surveillance data</w:t>
      </w:r>
      <w:r w:rsidR="003278B4">
        <w:rPr>
          <w:rFonts w:cstheme="minorHAnsi"/>
        </w:rPr>
        <w:t>,</w:t>
      </w:r>
      <w:r w:rsidR="00B9105F">
        <w:rPr>
          <w:rFonts w:cstheme="minorHAnsi"/>
        </w:rPr>
        <w:t xml:space="preserve"> to ensure that any </w:t>
      </w:r>
      <w:r w:rsidR="005D7CD0">
        <w:rPr>
          <w:rFonts w:cstheme="minorHAnsi"/>
        </w:rPr>
        <w:t>modelled</w:t>
      </w:r>
      <w:r w:rsidR="00B9105F">
        <w:rPr>
          <w:rFonts w:cstheme="minorHAnsi"/>
        </w:rPr>
        <w:t xml:space="preserve"> </w:t>
      </w:r>
      <w:r w:rsidR="003278B4">
        <w:rPr>
          <w:rFonts w:cstheme="minorHAnsi"/>
        </w:rPr>
        <w:t xml:space="preserve">livestock interventions occur in a population with realistic dynamics. </w:t>
      </w:r>
      <w:r w:rsidR="00B9105F">
        <w:rPr>
          <w:rFonts w:cstheme="minorHAnsi"/>
        </w:rPr>
        <w:t xml:space="preserve"> </w:t>
      </w:r>
      <w:r w:rsidR="00F115B2" w:rsidRPr="00F115B2">
        <w:rPr>
          <w:rFonts w:eastAsiaTheme="minorEastAsia"/>
          <w:iCs/>
          <w:highlight w:val="yellow"/>
        </w:rPr>
        <w:t>Four</w:t>
      </w:r>
      <w:r w:rsidR="00342F0D">
        <w:rPr>
          <w:rFonts w:eastAsiaTheme="minorEastAsia"/>
          <w:iCs/>
        </w:rPr>
        <w:t xml:space="preserve"> case studies </w:t>
      </w:r>
      <w:proofErr w:type="gramStart"/>
      <w:r w:rsidR="00342F0D">
        <w:rPr>
          <w:rFonts w:eastAsiaTheme="minorEastAsia"/>
          <w:iCs/>
        </w:rPr>
        <w:t>were chosen</w:t>
      </w:r>
      <w:proofErr w:type="gramEnd"/>
      <w:r w:rsidR="00342F0D">
        <w:rPr>
          <w:rFonts w:eastAsiaTheme="minorEastAsia"/>
          <w:iCs/>
        </w:rPr>
        <w:t xml:space="preserve"> to </w:t>
      </w:r>
      <w:r w:rsidR="00342F0D" w:rsidRPr="00C96CDC">
        <w:rPr>
          <w:rFonts w:eastAsiaTheme="minorEastAsia"/>
          <w:iCs/>
        </w:rPr>
        <w:t xml:space="preserve">aid model parameterisation and </w:t>
      </w:r>
      <w:r w:rsidR="00342F0D">
        <w:rPr>
          <w:rFonts w:eastAsiaTheme="minorEastAsia"/>
          <w:iCs/>
        </w:rPr>
        <w:t xml:space="preserve">to ground the model with EU epidemiological surveillance data. </w:t>
      </w:r>
    </w:p>
    <w:p w14:paraId="7DD4779C" w14:textId="77777777" w:rsidR="00CE6631" w:rsidRDefault="00CE6631" w:rsidP="00C02277">
      <w:pPr>
        <w:pStyle w:val="NoSpacing"/>
        <w:spacing w:line="360" w:lineRule="auto"/>
        <w:jc w:val="both"/>
        <w:rPr>
          <w:rFonts w:eastAsiaTheme="minorEastAsia"/>
          <w:iCs/>
        </w:rPr>
      </w:pPr>
    </w:p>
    <w:p w14:paraId="0A120A92" w14:textId="190C5D64" w:rsidR="00F115B2" w:rsidRDefault="00342F0D" w:rsidP="00C02277">
      <w:pPr>
        <w:pStyle w:val="NoSpacing"/>
        <w:spacing w:line="360" w:lineRule="auto"/>
        <w:jc w:val="both"/>
      </w:pPr>
      <w:proofErr w:type="gramStart"/>
      <w:r>
        <w:rPr>
          <w:rFonts w:eastAsiaTheme="minorEastAsia"/>
          <w:iCs/>
        </w:rPr>
        <w:t xml:space="preserve">These case studies were: </w:t>
      </w:r>
      <w:r w:rsidR="00C02277">
        <w:rPr>
          <w:rFonts w:eastAsiaTheme="minorEastAsia"/>
          <w:iCs/>
        </w:rPr>
        <w:t xml:space="preserve">1) </w:t>
      </w:r>
      <w:r w:rsidR="00C02277" w:rsidRPr="006F5EB4">
        <w:rPr>
          <w:rFonts w:cstheme="minorHAnsi"/>
        </w:rPr>
        <w:t xml:space="preserve">tetracycline-resistant </w:t>
      </w:r>
      <w:r w:rsidR="00C02277">
        <w:rPr>
          <w:rFonts w:cstheme="minorHAnsi"/>
        </w:rPr>
        <w:t>non-</w:t>
      </w:r>
      <w:proofErr w:type="spellStart"/>
      <w:r w:rsidR="00C02277">
        <w:rPr>
          <w:rFonts w:cstheme="minorHAnsi"/>
        </w:rPr>
        <w:t>typhoidal</w:t>
      </w:r>
      <w:proofErr w:type="spellEnd"/>
      <w:r w:rsidR="00C02277">
        <w:rPr>
          <w:rFonts w:cstheme="minorHAnsi"/>
        </w:rPr>
        <w:t xml:space="preserve"> </w:t>
      </w:r>
      <w:r w:rsidR="00C02277" w:rsidRPr="006F5EB4">
        <w:rPr>
          <w:rFonts w:cstheme="minorHAnsi"/>
        </w:rPr>
        <w:t>salmonella in fattening pigs to humans</w:t>
      </w:r>
      <w:r w:rsidR="00C02277">
        <w:rPr>
          <w:rFonts w:cstheme="minorHAnsi"/>
        </w:rPr>
        <w:t xml:space="preserve"> from 2015-2018 </w:t>
      </w:r>
      <w:r w:rsidR="00DD4B3A">
        <w:t>(</w:t>
      </w:r>
      <w:r w:rsidR="00DD4B3A" w:rsidRPr="00DD4B3A">
        <w:rPr>
          <w:b/>
          <w:bCs/>
          <w:highlight w:val="yellow"/>
        </w:rPr>
        <w:t>NUMBER OF OBSERVATIONS</w:t>
      </w:r>
      <w:r w:rsidR="00DD4B3A">
        <w:t>)</w:t>
      </w:r>
      <w:r w:rsidR="00DD4B3A">
        <w:t xml:space="preserve"> </w:t>
      </w:r>
      <w:r w:rsidR="00C02277">
        <w:t>(</w:t>
      </w:r>
      <w:r w:rsidR="00C02277" w:rsidRPr="00CD09DF">
        <w:rPr>
          <w:b/>
          <w:bCs/>
          <w:highlight w:val="yellow"/>
        </w:rPr>
        <w:t>CITE</w:t>
      </w:r>
      <w:r w:rsidR="00C02277">
        <w:t>)</w:t>
      </w:r>
      <w:r w:rsidR="00C02277" w:rsidRPr="006F5EB4">
        <w:rPr>
          <w:rFonts w:cstheme="minorHAnsi"/>
        </w:rPr>
        <w:t xml:space="preserve">, </w:t>
      </w:r>
      <w:r w:rsidR="00C02277">
        <w:rPr>
          <w:rFonts w:cstheme="minorHAnsi"/>
        </w:rPr>
        <w:t xml:space="preserve">2) </w:t>
      </w:r>
      <w:r w:rsidR="00C02277" w:rsidRPr="006F5EB4">
        <w:rPr>
          <w:rFonts w:cstheme="minorHAnsi"/>
        </w:rPr>
        <w:t xml:space="preserve">ampicillin-resistant </w:t>
      </w:r>
      <w:r w:rsidR="00C02277">
        <w:rPr>
          <w:rFonts w:cstheme="minorHAnsi"/>
        </w:rPr>
        <w:t>non-</w:t>
      </w:r>
      <w:proofErr w:type="spellStart"/>
      <w:r w:rsidR="00C02277">
        <w:rPr>
          <w:rFonts w:cstheme="minorHAnsi"/>
        </w:rPr>
        <w:t>typhoidal</w:t>
      </w:r>
      <w:proofErr w:type="spellEnd"/>
      <w:r w:rsidR="00C02277">
        <w:rPr>
          <w:rFonts w:cstheme="minorHAnsi"/>
        </w:rPr>
        <w:t xml:space="preserve"> </w:t>
      </w:r>
      <w:r w:rsidR="00C02277" w:rsidRPr="006F5EB4">
        <w:rPr>
          <w:rFonts w:cstheme="minorHAnsi"/>
        </w:rPr>
        <w:t>salmonella in fatteni</w:t>
      </w:r>
      <w:r w:rsidR="00C02277">
        <w:rPr>
          <w:rFonts w:cstheme="minorHAnsi"/>
        </w:rPr>
        <w:t xml:space="preserve">ng pigs to humans from 2015-2018 </w:t>
      </w:r>
      <w:r w:rsidR="00DD4B3A">
        <w:t>(</w:t>
      </w:r>
      <w:r w:rsidR="00DD4B3A" w:rsidRPr="00DD4B3A">
        <w:rPr>
          <w:b/>
          <w:bCs/>
          <w:highlight w:val="yellow"/>
        </w:rPr>
        <w:t>NUMBER OF OBSERVATIONS</w:t>
      </w:r>
      <w:r w:rsidR="00DD4B3A">
        <w:t>)</w:t>
      </w:r>
      <w:r w:rsidR="00DD4B3A">
        <w:t xml:space="preserve"> </w:t>
      </w:r>
      <w:r w:rsidR="00C02277">
        <w:t>(</w:t>
      </w:r>
      <w:r w:rsidR="00C02277" w:rsidRPr="00CD09DF">
        <w:rPr>
          <w:b/>
          <w:bCs/>
          <w:highlight w:val="yellow"/>
        </w:rPr>
        <w:t>CITE</w:t>
      </w:r>
      <w:r w:rsidR="00C02277">
        <w:t>)</w:t>
      </w:r>
      <w:r w:rsidR="00C02277">
        <w:rPr>
          <w:rFonts w:cstheme="minorHAnsi"/>
        </w:rPr>
        <w:t>,</w:t>
      </w:r>
      <w:r w:rsidR="00C02277" w:rsidRPr="006F5EB4">
        <w:rPr>
          <w:rFonts w:cstheme="minorHAnsi"/>
        </w:rPr>
        <w:t xml:space="preserve"> </w:t>
      </w:r>
      <w:r w:rsidR="00C02277">
        <w:rPr>
          <w:rFonts w:cstheme="minorHAnsi"/>
        </w:rPr>
        <w:t xml:space="preserve">3) </w:t>
      </w:r>
      <w:r w:rsidR="00C02277" w:rsidRPr="006F5EB4">
        <w:rPr>
          <w:rFonts w:cstheme="minorHAnsi"/>
        </w:rPr>
        <w:t xml:space="preserve">tetracycline-resistant </w:t>
      </w:r>
      <w:r w:rsidR="00C02277">
        <w:rPr>
          <w:rFonts w:cstheme="minorHAnsi"/>
        </w:rPr>
        <w:t>non-</w:t>
      </w:r>
      <w:proofErr w:type="spellStart"/>
      <w:r w:rsidR="00C02277">
        <w:rPr>
          <w:rFonts w:cstheme="minorHAnsi"/>
        </w:rPr>
        <w:t>typhoidal</w:t>
      </w:r>
      <w:proofErr w:type="spellEnd"/>
      <w:r w:rsidR="00C02277">
        <w:rPr>
          <w:rFonts w:cstheme="minorHAnsi"/>
        </w:rPr>
        <w:t xml:space="preserve"> </w:t>
      </w:r>
      <w:r w:rsidR="00C02277" w:rsidRPr="006F5EB4">
        <w:rPr>
          <w:rFonts w:cstheme="minorHAnsi"/>
        </w:rPr>
        <w:t>salmonella in broiler poultry to humans</w:t>
      </w:r>
      <w:r w:rsidR="00C02277">
        <w:rPr>
          <w:rFonts w:cstheme="minorHAnsi"/>
        </w:rPr>
        <w:t xml:space="preserve"> from 2014-2018 </w:t>
      </w:r>
      <w:r w:rsidR="00C02277">
        <w:t>(</w:t>
      </w:r>
      <w:r w:rsidR="00DD4B3A" w:rsidRPr="00DD4B3A">
        <w:rPr>
          <w:b/>
          <w:bCs/>
          <w:highlight w:val="yellow"/>
        </w:rPr>
        <w:t>NUMBER OF OBSERVATIONS</w:t>
      </w:r>
      <w:r w:rsidR="00C02277">
        <w:t>)</w:t>
      </w:r>
      <w:r w:rsidR="00F115B2">
        <w:t xml:space="preserve"> and</w:t>
      </w:r>
      <w:r w:rsidR="00C02277">
        <w:t xml:space="preserve"> 4) </w:t>
      </w:r>
      <w:r w:rsidR="00C02277">
        <w:rPr>
          <w:rFonts w:cstheme="minorHAnsi"/>
        </w:rPr>
        <w:t>ampicillin</w:t>
      </w:r>
      <w:r w:rsidR="00C02277" w:rsidRPr="006F5EB4">
        <w:rPr>
          <w:rFonts w:cstheme="minorHAnsi"/>
        </w:rPr>
        <w:t xml:space="preserve">-resistant </w:t>
      </w:r>
      <w:r w:rsidR="00C02277">
        <w:rPr>
          <w:rFonts w:cstheme="minorHAnsi"/>
        </w:rPr>
        <w:t>non-</w:t>
      </w:r>
      <w:proofErr w:type="spellStart"/>
      <w:r w:rsidR="00C02277">
        <w:rPr>
          <w:rFonts w:cstheme="minorHAnsi"/>
        </w:rPr>
        <w:t>typhoidal</w:t>
      </w:r>
      <w:proofErr w:type="spellEnd"/>
      <w:r w:rsidR="00C02277">
        <w:rPr>
          <w:rFonts w:cstheme="minorHAnsi"/>
        </w:rPr>
        <w:t xml:space="preserve"> </w:t>
      </w:r>
      <w:r w:rsidR="00C02277" w:rsidRPr="006F5EB4">
        <w:rPr>
          <w:rFonts w:cstheme="minorHAnsi"/>
        </w:rPr>
        <w:t>salmonella in broiler poultry to humans</w:t>
      </w:r>
      <w:r w:rsidR="00C02277">
        <w:rPr>
          <w:rFonts w:cstheme="minorHAnsi"/>
        </w:rPr>
        <w:t xml:space="preserve"> from 2014-2018 </w:t>
      </w:r>
      <w:r w:rsidR="00DD4B3A">
        <w:rPr>
          <w:rFonts w:cstheme="minorHAnsi"/>
        </w:rPr>
        <w:t>(</w:t>
      </w:r>
      <w:r w:rsidR="00DD4B3A" w:rsidRPr="00DD4B3A">
        <w:rPr>
          <w:rFonts w:cstheme="minorHAnsi"/>
          <w:b/>
          <w:highlight w:val="yellow"/>
        </w:rPr>
        <w:t>NUMBER OF OBSERVATIONS</w:t>
      </w:r>
      <w:r w:rsidR="00DD4B3A">
        <w:rPr>
          <w:rFonts w:cstheme="minorHAnsi"/>
        </w:rPr>
        <w:t xml:space="preserve">) </w:t>
      </w:r>
      <w:r w:rsidR="00C02277">
        <w:t>(</w:t>
      </w:r>
      <w:r w:rsidR="00C02277" w:rsidRPr="00CD09DF">
        <w:rPr>
          <w:b/>
          <w:bCs/>
          <w:highlight w:val="yellow"/>
        </w:rPr>
        <w:t>CITE</w:t>
      </w:r>
      <w:r w:rsidR="00C02277">
        <w:t>).</w:t>
      </w:r>
      <w:proofErr w:type="gramEnd"/>
      <w:r w:rsidR="00C02277">
        <w:t xml:space="preserve"> </w:t>
      </w:r>
      <w:r w:rsidR="00F115B2">
        <w:t xml:space="preserve">These four case studies were included due to their significant relationship between antibiotic usage and resistance. We note that one case study exhibited borderline significant relationship between usage and resistance, therefore was included as a case study. </w:t>
      </w:r>
    </w:p>
    <w:p w14:paraId="43D7D77A" w14:textId="672D85B6" w:rsidR="00342F0D" w:rsidRDefault="00342F0D" w:rsidP="008D5DB0">
      <w:pPr>
        <w:pStyle w:val="NoSpacing"/>
        <w:spacing w:line="360" w:lineRule="auto"/>
        <w:jc w:val="both"/>
        <w:rPr>
          <w:rFonts w:cstheme="minorHAnsi"/>
        </w:rPr>
      </w:pPr>
    </w:p>
    <w:p w14:paraId="1C1D049A" w14:textId="77777777" w:rsidR="00F115B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usage/sales and livestock</w:t>
      </w:r>
      <w:r w:rsidR="00EE18B7">
        <w:rPr>
          <w:rFonts w:cstheme="minorHAnsi"/>
        </w:rPr>
        <w:t xml:space="preserve"> </w:t>
      </w:r>
      <w:r w:rsidR="003278B4">
        <w:rPr>
          <w:rFonts w:cstheme="minorHAnsi"/>
        </w:rPr>
        <w:t xml:space="preserve">resistance pairs for each country in each respective </w:t>
      </w:r>
      <w:proofErr w:type="gramStart"/>
      <w:r w:rsidR="005D7CD0">
        <w:rPr>
          <w:rFonts w:cstheme="minorHAnsi"/>
        </w:rPr>
        <w:t>case-study</w:t>
      </w:r>
      <w:proofErr w:type="gramEnd"/>
      <w:r w:rsidR="00A339C8">
        <w:rPr>
          <w:rFonts w:cstheme="minorHAnsi"/>
        </w:rPr>
        <w:t xml:space="preserve"> (</w:t>
      </w:r>
      <w:r w:rsidR="00A339C8" w:rsidRPr="00A339C8">
        <w:rPr>
          <w:rFonts w:cstheme="minorHAnsi"/>
          <w:b/>
          <w:bCs/>
          <w:highlight w:val="yellow"/>
        </w:rPr>
        <w:t>CITE</w:t>
      </w:r>
      <w:r w:rsidR="00A339C8">
        <w:rPr>
          <w:rFonts w:cstheme="minorHAnsi"/>
        </w:rPr>
        <w:t>)</w:t>
      </w:r>
      <w:r w:rsidR="003278B4">
        <w:rPr>
          <w:rFonts w:cstheme="minorHAnsi"/>
        </w:rPr>
        <w:t xml:space="preserve">. </w:t>
      </w:r>
      <w:r w:rsidR="009C54CC">
        <w:rPr>
          <w:rFonts w:cstheme="minorHAnsi"/>
        </w:rPr>
        <w:t>These pairs span</w:t>
      </w:r>
      <w:r w:rsidR="00F115B2">
        <w:rPr>
          <w:rFonts w:cstheme="minorHAnsi"/>
        </w:rPr>
        <w:t>ned</w:t>
      </w:r>
      <w:r w:rsidR="009C54CC">
        <w:rPr>
          <w:rFonts w:cstheme="minorHAnsi"/>
        </w:rPr>
        <w:t xml:space="preserve"> across multiple years for each country</w:t>
      </w:r>
      <w:r w:rsidR="00F115B2">
        <w:rPr>
          <w:rFonts w:cstheme="minorHAnsi"/>
        </w:rPr>
        <w:t xml:space="preserve"> (</w:t>
      </w:r>
      <w:r w:rsidR="00F115B2" w:rsidRPr="00F115B2">
        <w:rPr>
          <w:rFonts w:cstheme="minorHAnsi"/>
          <w:b/>
          <w:highlight w:val="yellow"/>
        </w:rPr>
        <w:t>SUPPLEMENTARY MATERIAL</w:t>
      </w:r>
      <w:r w:rsidR="00F115B2">
        <w:rPr>
          <w:rFonts w:cstheme="minorHAnsi"/>
        </w:rPr>
        <w:t>)</w:t>
      </w:r>
      <w:r w:rsidR="009C54CC">
        <w:rPr>
          <w:rFonts w:cstheme="minorHAnsi"/>
        </w:rPr>
        <w:t xml:space="preserve">. Therefore, for any one country, there may be multiple usage/resistance pairs corresponding to different years in the </w:t>
      </w:r>
      <w:r w:rsidR="00F115B2">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t>
      </w:r>
      <w:proofErr w:type="gramStart"/>
      <w:r w:rsidR="003278B4">
        <w:rPr>
          <w:rFonts w:cstheme="minorHAnsi"/>
        </w:rPr>
        <w:t>were used</w:t>
      </w:r>
      <w:proofErr w:type="gramEnd"/>
      <w:r w:rsidR="003278B4">
        <w:rPr>
          <w:rFonts w:cstheme="minorHAnsi"/>
        </w:rPr>
        <w:t xml:space="preserve">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 and was used for model parameterisation</w:t>
      </w:r>
      <w:r w:rsidR="005D7CD0">
        <w:rPr>
          <w:rFonts w:cstheme="minorHAnsi"/>
        </w:rPr>
        <w:t>.</w:t>
      </w:r>
    </w:p>
    <w:p w14:paraId="442B4FD5" w14:textId="77777777" w:rsidR="00F115B2" w:rsidRDefault="00F115B2" w:rsidP="008D5DB0">
      <w:pPr>
        <w:pStyle w:val="NoSpacing"/>
        <w:spacing w:line="360" w:lineRule="auto"/>
        <w:jc w:val="both"/>
        <w:rPr>
          <w:rFonts w:cstheme="minorHAnsi"/>
        </w:rPr>
      </w:pPr>
    </w:p>
    <w:p w14:paraId="4D25673D" w14:textId="77777777" w:rsidR="00E07592" w:rsidRDefault="00E07592" w:rsidP="008D5DB0">
      <w:pPr>
        <w:pStyle w:val="NoSpacing"/>
        <w:spacing w:line="360" w:lineRule="auto"/>
        <w:jc w:val="both"/>
        <w:rPr>
          <w:rFonts w:cstheme="minorHAnsi"/>
        </w:rPr>
      </w:pPr>
    </w:p>
    <w:p w14:paraId="20A45656" w14:textId="74B14232" w:rsidR="00E07592" w:rsidRDefault="00F115B2" w:rsidP="008D5DB0">
      <w:pPr>
        <w:pStyle w:val="NoSpacing"/>
        <w:spacing w:line="360" w:lineRule="auto"/>
        <w:jc w:val="both"/>
        <w:rPr>
          <w:rFonts w:cstheme="minorHAnsi"/>
        </w:rPr>
      </w:pPr>
      <w:r w:rsidRPr="00F115B2">
        <w:rPr>
          <w:rFonts w:cstheme="minorHAnsi"/>
        </w:rPr>
        <w:lastRenderedPageBreak/>
        <w:drawing>
          <wp:inline distT="0" distB="0" distL="0" distR="0" wp14:anchorId="06B6063F" wp14:editId="0C9B782D">
            <wp:extent cx="5731510" cy="5725795"/>
            <wp:effectExtent l="0" t="0" r="2540" b="8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731510" cy="5725795"/>
                    </a:xfrm>
                    <a:prstGeom prst="rect">
                      <a:avLst/>
                    </a:prstGeom>
                  </pic:spPr>
                </pic:pic>
              </a:graphicData>
            </a:graphic>
          </wp:inline>
        </w:drawing>
      </w:r>
      <w:r w:rsidR="005D7CD0">
        <w:rPr>
          <w:rFonts w:cstheme="minorHAnsi"/>
        </w:rPr>
        <w:t xml:space="preserve"> </w:t>
      </w:r>
    </w:p>
    <w:p w14:paraId="4F457AFD" w14:textId="6B862AE3" w:rsidR="00E07592" w:rsidRDefault="00CE6631" w:rsidP="008D5DB0">
      <w:pPr>
        <w:pStyle w:val="NoSpacing"/>
        <w:spacing w:line="360" w:lineRule="auto"/>
        <w:jc w:val="both"/>
        <w:rPr>
          <w:rFonts w:cstheme="minorHAnsi"/>
        </w:rPr>
      </w:pPr>
      <w:r>
        <w:rPr>
          <w:rFonts w:cstheme="minorHAnsi"/>
        </w:rPr>
        <w:t xml:space="preserve">FIGURE x …. – </w:t>
      </w:r>
    </w:p>
    <w:p w14:paraId="41324DA6" w14:textId="41D9BAB6" w:rsidR="00CE6631" w:rsidRDefault="00CE6631" w:rsidP="008D5DB0">
      <w:pPr>
        <w:pStyle w:val="NoSpacing"/>
        <w:spacing w:line="360" w:lineRule="auto"/>
        <w:jc w:val="both"/>
        <w:rPr>
          <w:rFonts w:cstheme="minorHAnsi"/>
        </w:rPr>
      </w:pPr>
    </w:p>
    <w:p w14:paraId="7C7999CC" w14:textId="1BFBA900" w:rsidR="00E07592" w:rsidRDefault="00E07592" w:rsidP="00E07592">
      <w:pPr>
        <w:pStyle w:val="NoSpacing"/>
        <w:spacing w:line="360" w:lineRule="auto"/>
        <w:jc w:val="both"/>
        <w:rPr>
          <w:rFonts w:cstheme="minorHAnsi"/>
        </w:rPr>
      </w:pPr>
      <w:r>
        <w:t xml:space="preserve">Tetracycline and ampicillin usage </w:t>
      </w:r>
      <w:proofErr w:type="gramStart"/>
      <w:r>
        <w:t>were cho</w:t>
      </w:r>
      <w:r w:rsidR="00CE6631">
        <w:t>sen</w:t>
      </w:r>
      <w:proofErr w:type="gramEnd"/>
      <w:r w:rsidR="00CE6631">
        <w:t xml:space="preserve"> as the antibiotics</w:t>
      </w:r>
      <w:r>
        <w:t xml:space="preserve"> of interest due to the high level of usage in current agricultural operations. We note that </w:t>
      </w:r>
      <w:r w:rsidRPr="00D67AE7">
        <w:rPr>
          <w:rFonts w:cstheme="minorHAnsi"/>
        </w:rPr>
        <w:t>fluoroquinolone/azithromycin resistance ha</w:t>
      </w:r>
      <w:r>
        <w:rPr>
          <w:rFonts w:cstheme="minorHAnsi"/>
        </w:rPr>
        <w:t>ve</w:t>
      </w:r>
      <w:r w:rsidRPr="00D67AE7">
        <w:rPr>
          <w:rFonts w:cstheme="minorHAnsi"/>
        </w:rPr>
        <w:t xml:space="preserve"> </w:t>
      </w:r>
      <w:proofErr w:type="gramStart"/>
      <w:r w:rsidRPr="00D67AE7">
        <w:rPr>
          <w:rFonts w:cstheme="minorHAnsi"/>
        </w:rPr>
        <w:t xml:space="preserve">more clinical relevance for </w:t>
      </w:r>
      <w:r>
        <w:rPr>
          <w:rFonts w:cstheme="minorHAnsi"/>
        </w:rPr>
        <w:t>non-</w:t>
      </w:r>
      <w:proofErr w:type="spellStart"/>
      <w:r>
        <w:rPr>
          <w:rFonts w:cstheme="minorHAnsi"/>
        </w:rPr>
        <w:t>typhoidal</w:t>
      </w:r>
      <w:proofErr w:type="spellEnd"/>
      <w:r>
        <w:rPr>
          <w:rFonts w:cstheme="minorHAnsi"/>
        </w:rPr>
        <w:t xml:space="preserve"> salmonellosis</w:t>
      </w:r>
      <w:r w:rsidRPr="00D67AE7">
        <w:rPr>
          <w:rFonts w:cstheme="minorHAnsi"/>
        </w:rPr>
        <w:t xml:space="preserve"> due to </w:t>
      </w:r>
      <w:r>
        <w:rPr>
          <w:rFonts w:cstheme="minorHAnsi"/>
        </w:rPr>
        <w:t>their use to treat invasive NTS</w:t>
      </w:r>
      <w:proofErr w:type="gramEnd"/>
      <w:r>
        <w:rPr>
          <w:rFonts w:cstheme="minorHAnsi"/>
        </w:rPr>
        <w:t>. However,</w:t>
      </w:r>
      <w:r w:rsidRPr="00D67AE7">
        <w:rPr>
          <w:rFonts w:cstheme="minorHAnsi"/>
        </w:rPr>
        <w:t xml:space="preserve"> we note that stewardship has already driven usage of these antibiotics in livestock to a low level </w:t>
      </w:r>
      <w:r w:rsidRPr="00D67AE7">
        <w:t>(</w:t>
      </w:r>
      <w:r w:rsidRPr="00D67AE7">
        <w:rPr>
          <w:b/>
          <w:bCs/>
          <w:highlight w:val="yellow"/>
        </w:rPr>
        <w:t>CITE</w:t>
      </w:r>
      <w:r w:rsidRPr="00D67AE7">
        <w:t>)</w:t>
      </w:r>
      <w:r w:rsidRPr="00D67AE7">
        <w:rPr>
          <w:rFonts w:cstheme="minorHAnsi"/>
        </w:rPr>
        <w:t xml:space="preserve">. Therefore, it was not feasible to use these antibiotics as a case study for the impacts of livestock antibiotic curtailment.  </w:t>
      </w:r>
    </w:p>
    <w:p w14:paraId="3134A267" w14:textId="77777777" w:rsidR="00E07592" w:rsidRDefault="00E07592" w:rsidP="008D5DB0">
      <w:pPr>
        <w:pStyle w:val="NoSpacing"/>
        <w:spacing w:line="360" w:lineRule="auto"/>
        <w:jc w:val="both"/>
        <w:rPr>
          <w:rFonts w:cstheme="minorHAnsi"/>
        </w:rPr>
      </w:pPr>
    </w:p>
    <w:p w14:paraId="12FD63EB" w14:textId="1DEEDC88" w:rsidR="00E12C38" w:rsidRDefault="00E12C38" w:rsidP="008D5DB0">
      <w:pPr>
        <w:pStyle w:val="NoSpacing"/>
        <w:spacing w:line="360" w:lineRule="auto"/>
        <w:jc w:val="both"/>
        <w:rPr>
          <w:rFonts w:cstheme="minorHAnsi"/>
        </w:rPr>
      </w:pPr>
    </w:p>
    <w:p w14:paraId="5B80B704" w14:textId="77777777" w:rsidR="00E12C38" w:rsidRDefault="00E12C38" w:rsidP="00E12C38">
      <w:pPr>
        <w:pStyle w:val="NoSpacing"/>
        <w:numPr>
          <w:ilvl w:val="0"/>
          <w:numId w:val="14"/>
        </w:numPr>
        <w:spacing w:line="360" w:lineRule="auto"/>
        <w:jc w:val="both"/>
      </w:pPr>
      <w:proofErr w:type="gramStart"/>
      <w:r>
        <w:t xml:space="preserve">It is important to note that there is an assumption that the inclusion of yearly data that the usage or resistance is either at equilibrium – or that there is no lag – i.e. that the reduction in </w:t>
      </w:r>
      <w:r>
        <w:lastRenderedPageBreak/>
        <w:t>antibiotic usage across two years – that the level of resistance seen in the second year is representative of the usage in that second year – and not still influenced by the usage dynamics seen in the year before.</w:t>
      </w:r>
      <w:proofErr w:type="gramEnd"/>
      <w:r>
        <w:t xml:space="preserve"> </w:t>
      </w:r>
    </w:p>
    <w:p w14:paraId="21365844" w14:textId="378C1B72" w:rsidR="00C02277" w:rsidRDefault="00C02277" w:rsidP="008D5DB0">
      <w:pPr>
        <w:pStyle w:val="NoSpacing"/>
        <w:spacing w:line="360" w:lineRule="auto"/>
        <w:jc w:val="both"/>
        <w:rPr>
          <w:rFonts w:cstheme="minorHAnsi"/>
        </w:rPr>
      </w:pPr>
    </w:p>
    <w:p w14:paraId="2C36C5B3" w14:textId="5170776B" w:rsidR="000D2A47" w:rsidRDefault="00F74B7C" w:rsidP="008D5DB0">
      <w:pPr>
        <w:pStyle w:val="NoSpacing"/>
        <w:spacing w:line="360" w:lineRule="auto"/>
        <w:jc w:val="both"/>
        <w:rPr>
          <w:rFonts w:cstheme="minorHAnsi"/>
        </w:rPr>
      </w:pPr>
      <w:r>
        <w:rPr>
          <w:rFonts w:cstheme="minorHAnsi"/>
        </w:rPr>
        <w:t>A</w:t>
      </w:r>
      <w:r w:rsidR="00EE18B7">
        <w:rPr>
          <w:rFonts w:cstheme="minorHAnsi"/>
        </w:rPr>
        <w:t xml:space="preserve"> simulated dataset for each case study </w:t>
      </w:r>
      <w:proofErr w:type="gramStart"/>
      <w:r w:rsidR="00EE18B7">
        <w:rPr>
          <w:rFonts w:cstheme="minorHAnsi"/>
        </w:rPr>
        <w:t>was generated</w:t>
      </w:r>
      <w:proofErr w:type="gramEnd"/>
      <w:r w:rsidR="00EE18B7">
        <w:rPr>
          <w:rFonts w:cstheme="minorHAnsi"/>
        </w:rPr>
        <w:t xml:space="preserve"> by modelling the simulated fraction of antibiotic resistant livesto</w:t>
      </w:r>
      <w:r w:rsidR="00CE6631">
        <w:rPr>
          <w:rFonts w:cstheme="minorHAnsi"/>
        </w:rPr>
        <w:t>ck infections for each country</w:t>
      </w:r>
      <w:r w:rsidR="00DD4B3A">
        <w:rPr>
          <w:rFonts w:cstheme="minorHAnsi"/>
        </w:rPr>
        <w:t>/year observation</w:t>
      </w:r>
      <w:r w:rsidR="00CE6631">
        <w:rPr>
          <w:rFonts w:cstheme="minorHAnsi"/>
        </w:rPr>
        <w:t>, given the observed le</w:t>
      </w:r>
      <w:r w:rsidR="00DD4B3A">
        <w:rPr>
          <w:rFonts w:cstheme="minorHAnsi"/>
        </w:rPr>
        <w:t>vel of antibiotic sales for each country/year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BA0A5B">
        <w:rPr>
          <w:rFonts w:cstheme="minorHAnsi"/>
        </w:rPr>
        <w:t>minimise the distance between the simulated</w:t>
      </w:r>
      <w:r w:rsidR="00553B56">
        <w:rPr>
          <w:rFonts w:cstheme="minorHAnsi"/>
        </w:rPr>
        <w:t xml:space="preserve"> (</w:t>
      </w:r>
      <m:oMath>
        <m:r>
          <w:rPr>
            <w:rFonts w:ascii="Cambria Math" w:hAnsi="Cambria Math" w:cstheme="minorHAnsi"/>
          </w:rPr>
          <m:t>x</m:t>
        </m:r>
      </m:oMath>
      <w:r w:rsidR="00553B56">
        <w:rPr>
          <w:rFonts w:cstheme="minorHAnsi"/>
        </w:rPr>
        <w:t>)</w:t>
      </w:r>
      <w:r w:rsidR="00BA0A5B">
        <w:rPr>
          <w:rFonts w:cstheme="minorHAnsi"/>
        </w:rPr>
        <w:t xml:space="preserve"> </w:t>
      </w:r>
      <w:r w:rsidR="00553B56">
        <w:rPr>
          <w:rFonts w:cstheme="minorHAnsi"/>
        </w:rPr>
        <w:t>and observed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oMath>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 xml:space="preserve">/year </w:t>
      </w:r>
      <w:proofErr w:type="spellStart"/>
      <w:r w:rsidR="00DD4B3A">
        <w:rPr>
          <w:rFonts w:cstheme="minorHAnsi"/>
        </w:rPr>
        <w:t>datapoint</w:t>
      </w:r>
      <w:proofErr w:type="spellEnd"/>
      <w:r w:rsidR="005D7CD0">
        <w:rPr>
          <w:rFonts w:cstheme="minorHAnsi"/>
        </w:rPr>
        <w:t xml:space="preserve">. </w:t>
      </w:r>
      <w:r w:rsidR="00DD4B3A">
        <w:rPr>
          <w:rFonts w:cstheme="minorHAnsi"/>
        </w:rPr>
        <w:t xml:space="preserve">The number of country/year </w:t>
      </w:r>
      <w:proofErr w:type="spellStart"/>
      <w:r w:rsidR="00DD4B3A">
        <w:rPr>
          <w:rFonts w:cstheme="minorHAnsi"/>
        </w:rPr>
        <w:t>datapoints</w:t>
      </w:r>
      <w:proofErr w:type="spellEnd"/>
      <w:r w:rsidR="00594C2D">
        <w:rPr>
          <w:rFonts w:cstheme="minorHAnsi"/>
        </w:rPr>
        <w:t xml:space="preserve"> in each case study is denoted </w:t>
      </w:r>
      <w:proofErr w:type="gramStart"/>
      <w:r w:rsidR="00594C2D">
        <w:rPr>
          <w:rFonts w:cstheme="minorHAnsi"/>
        </w:rPr>
        <w:t xml:space="preserve">by </w:t>
      </w:r>
      <w:proofErr w:type="gramEnd"/>
      <m:oMath>
        <m:r>
          <w:rPr>
            <w:rFonts w:ascii="Cambria Math" w:hAnsi="Cambria Math" w:cstheme="minorHAnsi"/>
          </w:rPr>
          <m:t>n</m:t>
        </m:r>
      </m:oMath>
      <w:r w:rsidR="00594C2D">
        <w:rPr>
          <w:rFonts w:eastAsiaTheme="minorEastAsia" w:cstheme="minorHAnsi"/>
        </w:rPr>
        <w:t>.</w:t>
      </w:r>
      <w:r w:rsidR="00553B56">
        <w:rPr>
          <w:rFonts w:eastAsiaTheme="minorEastAsia" w:cstheme="minorHAnsi"/>
        </w:rPr>
        <w:t xml:space="preserve"> </w:t>
      </w:r>
    </w:p>
    <w:p w14:paraId="2EAC8014" w14:textId="654F0DD8" w:rsidR="007C4D5F" w:rsidRDefault="007C4D5F" w:rsidP="008D5DB0">
      <w:pPr>
        <w:pStyle w:val="NoSpacing"/>
        <w:spacing w:line="360" w:lineRule="auto"/>
        <w:jc w:val="both"/>
        <w:rPr>
          <w:rFonts w:cstheme="minorHAnsi"/>
        </w:rPr>
      </w:pPr>
    </w:p>
    <w:p w14:paraId="24D30DDC" w14:textId="23CE18E1" w:rsidR="00FC4F4E" w:rsidRDefault="00FC4F4E" w:rsidP="008D5DB0">
      <w:pPr>
        <w:pStyle w:val="NoSpacing"/>
        <w:spacing w:line="360" w:lineRule="auto"/>
        <w:jc w:val="both"/>
        <w:rPr>
          <w:rFonts w:cstheme="minorHAnsi"/>
        </w:rPr>
      </w:pPr>
      <m:oMathPara>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 xml:space="preserve">x,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m:t>
              </m:r>
            </m:sub>
            <m:sup>
              <m:r>
                <w:rPr>
                  <w:rFonts w:ascii="Cambria Math" w:hAnsi="Cambria Math" w:cstheme="minorHAnsi"/>
                </w:rPr>
                <m:t>n</m:t>
              </m:r>
            </m:sup>
            <m:e>
              <m:sSup>
                <m:sSupPr>
                  <m:ctrlPr>
                    <w:rPr>
                      <w:rFonts w:ascii="Cambria Math" w:hAnsi="Cambria Math" w:cstheme="minorHAnsi"/>
                      <w:i/>
                    </w:rPr>
                  </m:ctrlPr>
                </m:sSupPr>
                <m:e>
                  <m:r>
                    <w:rPr>
                      <w:rFonts w:ascii="Cambria Math" w:hAnsi="Cambria Math" w:cstheme="minorHAnsi"/>
                    </w:rPr>
                    <m:t>(x</m:t>
                  </m:r>
                  <m:d>
                    <m:dPr>
                      <m:begChr m:val="["/>
                      <m:endChr m:val="]"/>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[i])</m:t>
                  </m:r>
                </m:e>
                <m:sup>
                  <m:r>
                    <w:rPr>
                      <w:rFonts w:ascii="Cambria Math" w:hAnsi="Cambria Math" w:cstheme="minorHAnsi"/>
                    </w:rPr>
                    <m:t>2</m:t>
                  </m:r>
                </m:sup>
              </m:sSup>
            </m:e>
          </m:nary>
        </m:oMath>
      </m:oMathPara>
    </w:p>
    <w:p w14:paraId="49E28909" w14:textId="77777777" w:rsidR="00594C2D" w:rsidRDefault="00594C2D" w:rsidP="008D5DB0">
      <w:pPr>
        <w:pStyle w:val="NoSpacing"/>
        <w:spacing w:line="360" w:lineRule="auto"/>
        <w:jc w:val="both"/>
        <w:rPr>
          <w:rFonts w:cstheme="minorHAnsi"/>
        </w:rPr>
      </w:pPr>
    </w:p>
    <w:p w14:paraId="2CB13A48" w14:textId="3A20ED67" w:rsidR="00BA0A5B" w:rsidRDefault="00BA0A5B" w:rsidP="00BA0A5B">
      <w:pPr>
        <w:pStyle w:val="NoSpacing"/>
        <w:spacing w:line="360" w:lineRule="auto"/>
        <w:jc w:val="both"/>
        <w:rPr>
          <w:rFonts w:cstheme="minorHAnsi"/>
        </w:rPr>
      </w:pPr>
      <w:r>
        <w:rPr>
          <w:rFonts w:cstheme="minorHAnsi"/>
        </w:rPr>
        <w:t>ESVAC</w:t>
      </w:r>
      <w:r w:rsidR="00EE18B7">
        <w:rPr>
          <w:rFonts w:cstheme="minorHAnsi"/>
        </w:rPr>
        <w:t xml:space="preserve"> antibiotic sales</w:t>
      </w:r>
      <w:r>
        <w:rPr>
          <w:rFonts w:cstheme="minorHAnsi"/>
        </w:rPr>
        <w:t xml:space="preserve"> data </w:t>
      </w:r>
      <w:r w:rsidR="00594C2D">
        <w:rPr>
          <w:rFonts w:cstheme="minorHAnsi"/>
        </w:rPr>
        <w:t>is</w:t>
      </w:r>
      <w:r w:rsidR="005D7CD0">
        <w:rPr>
          <w:rFonts w:cstheme="minorHAnsi"/>
        </w:rPr>
        <w:t xml:space="preserve"> found</w:t>
      </w:r>
      <w:r>
        <w:rPr>
          <w:rFonts w:cstheme="minorHAnsi"/>
        </w:rPr>
        <w:t xml:space="preserve"> averaged for</w:t>
      </w:r>
      <w:r w:rsidR="00594C2D">
        <w:rPr>
          <w:rFonts w:cstheme="minorHAnsi"/>
        </w:rPr>
        <w:t xml:space="preserve"> all livestock species in</w:t>
      </w:r>
      <w:r>
        <w:rPr>
          <w:rFonts w:cstheme="minorHAnsi"/>
        </w:rPr>
        <w:t xml:space="preserve"> each country </w:t>
      </w:r>
      <w:r w:rsidR="00594C2D">
        <w:rPr>
          <w:rFonts w:cstheme="minorHAnsi"/>
        </w:rPr>
        <w:t>in the original surveillance report. A</w:t>
      </w:r>
      <w:r>
        <w:rPr>
          <w:rFonts w:cstheme="minorHAnsi"/>
        </w:rPr>
        <w:t xml:space="preserve"> scaling calculation was</w:t>
      </w:r>
      <w:r w:rsidR="00594C2D">
        <w:rPr>
          <w:rFonts w:cstheme="minorHAnsi"/>
        </w:rPr>
        <w:t xml:space="preserve"> </w:t>
      </w:r>
      <w:r w:rsidR="005D7CD0">
        <w:rPr>
          <w:rFonts w:cstheme="minorHAnsi"/>
        </w:rPr>
        <w:t xml:space="preserve">therefore </w:t>
      </w:r>
      <w:r w:rsidR="00594C2D">
        <w:rPr>
          <w:rFonts w:cstheme="minorHAnsi"/>
        </w:rPr>
        <w:t>required</w:t>
      </w:r>
      <w:r>
        <w:rPr>
          <w:rFonts w:cstheme="minorHAnsi"/>
        </w:rPr>
        <w:t xml:space="preserve"> to </w:t>
      </w:r>
      <w:r w:rsidR="005D7CD0">
        <w:rPr>
          <w:rFonts w:cstheme="minorHAnsi"/>
        </w:rPr>
        <w:t>convert</w:t>
      </w:r>
      <w:r>
        <w:rPr>
          <w:rFonts w:cstheme="minorHAnsi"/>
        </w:rPr>
        <w:t xml:space="preserve"> </w:t>
      </w:r>
      <w:r w:rsidR="005D7CD0">
        <w:rPr>
          <w:rFonts w:cstheme="minorHAnsi"/>
        </w:rPr>
        <w:t>the generic</w:t>
      </w:r>
      <w:r>
        <w:rPr>
          <w:rFonts w:cstheme="minorHAnsi"/>
        </w:rPr>
        <w:t xml:space="preserve"> antibiotic </w:t>
      </w:r>
      <w:r w:rsidR="005D7CD0">
        <w:rPr>
          <w:rFonts w:cstheme="minorHAnsi"/>
        </w:rPr>
        <w:t>sales</w:t>
      </w:r>
      <w:r w:rsidR="00EE18B7">
        <w:rPr>
          <w:rFonts w:cstheme="minorHAnsi"/>
        </w:rPr>
        <w:t xml:space="preserve"> </w:t>
      </w:r>
      <w:r w:rsidR="005D7CD0">
        <w:rPr>
          <w:rFonts w:cstheme="minorHAnsi"/>
        </w:rPr>
        <w:t xml:space="preserve">to a value specific </w:t>
      </w:r>
      <w:r>
        <w:rPr>
          <w:rFonts w:cstheme="minorHAnsi"/>
        </w:rPr>
        <w:t xml:space="preserve">to the modelled livestock host. Details of this can be found in the </w:t>
      </w:r>
      <w:r w:rsidRPr="002F522E">
        <w:rPr>
          <w:rFonts w:cstheme="minorHAnsi"/>
        </w:rPr>
        <w:t>supplementary information.</w:t>
      </w:r>
      <w:r>
        <w:rPr>
          <w:rFonts w:cstheme="minorHAnsi"/>
        </w:rPr>
        <w:t xml:space="preserve"> Note that due to a lack of accurate country-level antibiotic usage data, sales were assumed </w:t>
      </w:r>
      <w:proofErr w:type="gramStart"/>
      <w:r>
        <w:rPr>
          <w:rFonts w:cstheme="minorHAnsi"/>
        </w:rPr>
        <w:t xml:space="preserve">to be </w:t>
      </w:r>
      <w:r w:rsidR="00DD4B3A">
        <w:rPr>
          <w:rFonts w:cstheme="minorHAnsi"/>
        </w:rPr>
        <w:t>an</w:t>
      </w:r>
      <w:proofErr w:type="gramEnd"/>
      <w:r w:rsidR="00DD4B3A">
        <w:rPr>
          <w:rFonts w:cstheme="minorHAnsi"/>
        </w:rPr>
        <w:t xml:space="preserve"> </w:t>
      </w:r>
      <w:r>
        <w:rPr>
          <w:rFonts w:cstheme="minorHAnsi"/>
        </w:rPr>
        <w:t>accurate proxy for usage. Mentions of “usage” are therefore in reference to the ESVAC</w:t>
      </w:r>
      <w:r w:rsidR="00594C2D">
        <w:rPr>
          <w:rFonts w:cstheme="minorHAnsi"/>
        </w:rPr>
        <w:t xml:space="preserve"> sales</w:t>
      </w:r>
      <w:r>
        <w:rPr>
          <w:rFonts w:cstheme="minorHAnsi"/>
        </w:rPr>
        <w:t xml:space="preserve"> data. In accordance with the EFSA guidelines, countries with &lt;10 isolates in the respective EFSA dataset </w:t>
      </w:r>
      <w:r w:rsidR="009C54CC">
        <w:rPr>
          <w:rFonts w:cstheme="minorHAnsi"/>
        </w:rPr>
        <w:t xml:space="preserve">for a particular year </w:t>
      </w:r>
      <w:r>
        <w:rPr>
          <w:rFonts w:cstheme="minorHAnsi"/>
        </w:rPr>
        <w:t xml:space="preserve">were omitted from the model fit to preserve the integrity of the dataset when fitting. </w:t>
      </w:r>
    </w:p>
    <w:p w14:paraId="61739C65" w14:textId="56430466" w:rsidR="00594C2D" w:rsidRDefault="00594C2D" w:rsidP="00BA0A5B">
      <w:pPr>
        <w:pStyle w:val="NoSpacing"/>
        <w:spacing w:line="360" w:lineRule="auto"/>
        <w:jc w:val="both"/>
        <w:rPr>
          <w:rFonts w:cstheme="minorHAnsi"/>
        </w:rPr>
      </w:pPr>
    </w:p>
    <w:p w14:paraId="0D9EEB89" w14:textId="0B3CC4C2" w:rsidR="00BA0A5B" w:rsidRPr="00713317" w:rsidRDefault="00BA0A5B" w:rsidP="00BA0A5B">
      <w:pPr>
        <w:pStyle w:val="NoSpacing"/>
        <w:spacing w:line="360" w:lineRule="auto"/>
        <w:jc w:val="both"/>
        <w:rPr>
          <w:rFonts w:cstheme="minorHAnsi"/>
          <w:b/>
          <w:bCs/>
          <w:u w:val="single"/>
        </w:rPr>
      </w:pPr>
      <w:r w:rsidRPr="00BA0A5B">
        <w:rPr>
          <w:rFonts w:cstheme="minorHAnsi"/>
          <w:b/>
          <w:bCs/>
          <w:u w:val="single"/>
        </w:rPr>
        <w:t xml:space="preserve">Human </w:t>
      </w:r>
      <w:r w:rsidR="00713317">
        <w:rPr>
          <w:rFonts w:cstheme="minorHAnsi"/>
          <w:b/>
          <w:bCs/>
          <w:u w:val="single"/>
        </w:rPr>
        <w:t>s</w:t>
      </w:r>
      <w:r w:rsidRPr="00BA0A5B">
        <w:rPr>
          <w:rFonts w:cstheme="minorHAnsi"/>
          <w:b/>
          <w:bCs/>
          <w:u w:val="single"/>
        </w:rPr>
        <w:t xml:space="preserve">ummary statistics </w:t>
      </w:r>
    </w:p>
    <w:p w14:paraId="55C9787A" w14:textId="1775BBD9" w:rsidR="009F2F4B" w:rsidRDefault="00594C2D" w:rsidP="00143156">
      <w:pPr>
        <w:pStyle w:val="NoSpacing"/>
        <w:spacing w:line="360" w:lineRule="auto"/>
        <w:jc w:val="both"/>
        <w:rPr>
          <w:rFonts w:cstheme="minorHAnsi"/>
        </w:rPr>
      </w:pPr>
      <w:proofErr w:type="gramStart"/>
      <w:r>
        <w:rPr>
          <w:rFonts w:cstheme="minorHAnsi"/>
        </w:rPr>
        <w:t xml:space="preserve">To ensure that </w:t>
      </w:r>
      <w:r w:rsidR="00143156">
        <w:rPr>
          <w:rFonts w:cstheme="minorHAnsi"/>
        </w:rPr>
        <w:t xml:space="preserve">the human section of the model </w:t>
      </w:r>
      <w:r w:rsidR="005D7CD0">
        <w:rPr>
          <w:rFonts w:cstheme="minorHAnsi"/>
        </w:rPr>
        <w:t>was</w:t>
      </w:r>
      <w:r w:rsidR="00143156">
        <w:rPr>
          <w:rFonts w:cstheme="minorHAnsi"/>
        </w:rPr>
        <w:t xml:space="preserve"> grounded, two additional summary statistics</w:t>
      </w:r>
      <w:r w:rsidR="005D7CD0">
        <w:rPr>
          <w:rFonts w:cstheme="minorHAnsi"/>
        </w:rPr>
        <w:t xml:space="preserve"> were 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proportion of resistant human salmonellosis specific for each case study.</w:t>
      </w:r>
      <w:proofErr w:type="gramEnd"/>
      <w:r w:rsidR="00143156" w:rsidRPr="009D14EA">
        <w:rPr>
          <w:rFonts w:cstheme="minorHAnsi"/>
        </w:rPr>
        <w:t xml:space="preserve"> </w:t>
      </w:r>
    </w:p>
    <w:p w14:paraId="397417AF" w14:textId="77777777" w:rsidR="009F2F4B" w:rsidRDefault="009F2F4B" w:rsidP="00143156">
      <w:pPr>
        <w:pStyle w:val="NoSpacing"/>
        <w:spacing w:line="360" w:lineRule="auto"/>
        <w:jc w:val="both"/>
        <w:rPr>
          <w:rFonts w:cstheme="minorHAnsi"/>
        </w:rPr>
      </w:pPr>
    </w:p>
    <w:p w14:paraId="3DA8448C" w14:textId="6FF7588C" w:rsidR="008D5DB0" w:rsidRDefault="00EE18B7" w:rsidP="00143156">
      <w:pPr>
        <w:pStyle w:val="NoSpacing"/>
        <w:spacing w:line="360" w:lineRule="auto"/>
        <w:jc w:val="both"/>
        <w:rPr>
          <w:rFonts w:cstheme="minorHAnsi"/>
        </w:rPr>
      </w:pPr>
      <w:r>
        <w:rPr>
          <w:rFonts w:cstheme="minorHAnsi"/>
        </w:rPr>
        <w:t xml:space="preserve">The latter measure was calculated as the average prevalence of resistant human salmonellosis across all included countries in each </w:t>
      </w:r>
      <w:proofErr w:type="gramStart"/>
      <w:r>
        <w:rPr>
          <w:rFonts w:cstheme="minorHAnsi"/>
        </w:rPr>
        <w:t>case-study</w:t>
      </w:r>
      <w:proofErr w:type="gramEnd"/>
      <w:r>
        <w:rPr>
          <w:rFonts w:cstheme="minorHAnsi"/>
        </w:rPr>
        <w:t xml:space="preserve">. </w:t>
      </w:r>
      <w:r w:rsidR="00DD4B3A">
        <w:rPr>
          <w:rFonts w:cstheme="minorHAnsi"/>
        </w:rPr>
        <w:t xml:space="preserve">We note that this </w:t>
      </w:r>
      <w:r w:rsidR="003D551E">
        <w:rPr>
          <w:rFonts w:cstheme="minorHAnsi"/>
        </w:rPr>
        <w:t xml:space="preserve">summary statistic was calculated as a proportion, due to lack of </w:t>
      </w:r>
      <w:proofErr w:type="gramStart"/>
      <w:r w:rsidR="003D551E">
        <w:rPr>
          <w:rFonts w:cstheme="minorHAnsi"/>
        </w:rPr>
        <w:t>incidence based</w:t>
      </w:r>
      <w:proofErr w:type="gramEnd"/>
      <w:r w:rsidR="003D551E">
        <w:rPr>
          <w:rFonts w:cstheme="minorHAnsi"/>
        </w:rPr>
        <w:t xml:space="preserve"> resistance data. A</w:t>
      </w:r>
      <w:r w:rsidR="008D5DB0">
        <w:rPr>
          <w:rFonts w:cstheme="minorHAnsi"/>
        </w:rPr>
        <w:t xml:space="preserve"> scaling calculation </w:t>
      </w:r>
      <w:proofErr w:type="gramStart"/>
      <w:r w:rsidR="008D5DB0">
        <w:rPr>
          <w:rFonts w:cstheme="minorHAnsi"/>
        </w:rPr>
        <w:t>was used</w:t>
      </w:r>
      <w:proofErr w:type="gramEnd"/>
      <w:r w:rsidR="008D5DB0">
        <w:rPr>
          <w:rFonts w:cstheme="minorHAnsi"/>
        </w:rPr>
        <w:t xml:space="preserve"> to transform </w:t>
      </w:r>
      <w:r w:rsidR="008D5DB0">
        <w:rPr>
          <w:rFonts w:cstheme="minorHAnsi"/>
        </w:rPr>
        <w:lastRenderedPageBreak/>
        <w:t xml:space="preserve">the ECDC surveillance </w:t>
      </w:r>
      <w:r w:rsidR="00143156">
        <w:rPr>
          <w:rFonts w:cstheme="minorHAnsi"/>
        </w:rPr>
        <w:t xml:space="preserve">prevalence data for salmonellosis </w:t>
      </w:r>
      <w:r w:rsidR="008D5DB0">
        <w:rPr>
          <w:rFonts w:cstheme="minorHAnsi"/>
        </w:rPr>
        <w:t xml:space="preserve">data to a community-wide estimate. Details of this scaling is described in </w:t>
      </w:r>
      <w:r w:rsidR="008D5DB0" w:rsidRPr="002F522E">
        <w:rPr>
          <w:rFonts w:cstheme="minorHAnsi"/>
        </w:rPr>
        <w:t>the supplementary information.</w:t>
      </w:r>
      <w:r w:rsidR="008D5DB0">
        <w:rPr>
          <w:rFonts w:cstheme="minorHAnsi"/>
        </w:rPr>
        <w:t xml:space="preserve"> </w:t>
      </w:r>
    </w:p>
    <w:p w14:paraId="5BF5E44B" w14:textId="78F284D1" w:rsidR="008D5DB0" w:rsidRDefault="008D5DB0" w:rsidP="008D5DB0">
      <w:pPr>
        <w:pStyle w:val="NoSpacing"/>
        <w:spacing w:line="360" w:lineRule="auto"/>
        <w:jc w:val="both"/>
        <w:rPr>
          <w:rFonts w:cstheme="minorHAnsi"/>
        </w:rPr>
      </w:pPr>
    </w:p>
    <w:p w14:paraId="0ADE3D11" w14:textId="5EA4BDDA" w:rsidR="00BA0A5B" w:rsidRPr="00BA0A5B" w:rsidRDefault="00BA0A5B" w:rsidP="008D5DB0">
      <w:pPr>
        <w:pStyle w:val="NoSpacing"/>
        <w:spacing w:line="360" w:lineRule="auto"/>
        <w:jc w:val="both"/>
        <w:rPr>
          <w:rFonts w:cstheme="minorHAnsi"/>
          <w:b/>
          <w:bCs/>
          <w:u w:val="single"/>
        </w:rPr>
      </w:pPr>
      <w:r w:rsidRPr="00BA0A5B">
        <w:rPr>
          <w:rFonts w:cstheme="minorHAnsi"/>
          <w:b/>
          <w:bCs/>
          <w:u w:val="single"/>
        </w:rPr>
        <w:t>Fitted Parameters and ABC-SMC</w:t>
      </w:r>
      <w:r w:rsidR="00713317">
        <w:rPr>
          <w:rFonts w:cstheme="minorHAnsi"/>
          <w:b/>
          <w:bCs/>
          <w:u w:val="single"/>
        </w:rPr>
        <w:t xml:space="preserve"> details</w:t>
      </w:r>
    </w:p>
    <w:p w14:paraId="42DE9A5F" w14:textId="2F7B4B4C" w:rsidR="00E35039" w:rsidRDefault="008D5DB0" w:rsidP="008D5DB0">
      <w:pPr>
        <w:pStyle w:val="NoSpacing"/>
        <w:spacing w:line="360" w:lineRule="auto"/>
        <w:jc w:val="both"/>
        <w:rPr>
          <w:rFonts w:cstheme="minorHAnsi"/>
        </w:rPr>
      </w:pPr>
      <w:r>
        <w:rPr>
          <w:rFonts w:cstheme="minorHAnsi"/>
        </w:rPr>
        <w:t>The ABC-SMC approach was used</w:t>
      </w:r>
      <w:r w:rsidR="005D7CD0">
        <w:rPr>
          <w:rFonts w:cstheme="minorHAnsi"/>
        </w:rPr>
        <w:t xml:space="preserve"> estimate the marginal posterior probability distribution for </w:t>
      </w:r>
      <w:r w:rsidR="003D551E">
        <w:rPr>
          <w:rFonts w:cstheme="minorHAnsi"/>
        </w:rPr>
        <w:t>six</w:t>
      </w:r>
      <w:r>
        <w:rPr>
          <w:rFonts w:cstheme="minorHAnsi"/>
        </w:rPr>
        <w:t xml:space="preserve"> </w:t>
      </w:r>
      <w:r w:rsidR="00885806">
        <w:rPr>
          <w:rFonts w:cstheme="minorHAnsi"/>
        </w:rPr>
        <w:t xml:space="preserve">model </w:t>
      </w:r>
      <w:r>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w:proofErr w:type="gramStart"/>
      <w:r w:rsidR="00EE18B7">
        <w:rPr>
          <w:rFonts w:eastAsiaTheme="minorEastAsia" w:cstheme="minorHAnsi"/>
        </w:rPr>
        <w:t xml:space="preserve">, </w:t>
      </w:r>
      <w:proofErr w:type="gramEnd"/>
      <m:oMath>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m:t>
            </m:r>
            <m:r>
              <w:rPr>
                <w:rFonts w:ascii="Cambria Math" w:hAnsi="Cambria Math" w:cstheme="minorHAnsi"/>
              </w:rPr>
              <m:t>A</m:t>
            </m:r>
          </m:sub>
        </m:sSub>
        <m:r>
          <w:rPr>
            <w:rFonts w:ascii="Cambria Math" w:hAnsi="Cambria Math" w:cstheme="minorHAnsi"/>
          </w:rPr>
          <m:t>,</m:t>
        </m:r>
        <m:r>
          <w:rPr>
            <w:rFonts w:ascii="Cambria Math" w:hAnsi="Cambria Math" w:cstheme="minorHAnsi"/>
          </w:rPr>
          <m:t>κ, φ, α, ζ}</m:t>
        </m:r>
      </m:oMath>
      <w:r w:rsidR="007A6CE5" w:rsidRPr="002F522E">
        <w:rPr>
          <w:rFonts w:cstheme="minorHAnsi"/>
        </w:rPr>
        <w:t>.</w:t>
      </w:r>
      <w:r w:rsidR="007A6CE5">
        <w:rPr>
          <w:rFonts w:cstheme="minorHAnsi"/>
        </w:rPr>
        <w:t xml:space="preserve"> </w:t>
      </w:r>
      <w:r>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Pr>
          <w:rFonts w:cstheme="minorHAnsi"/>
        </w:rPr>
        <w:t>available (</w:t>
      </w:r>
      <w:proofErr w:type="spellStart"/>
      <w:r>
        <w:rPr>
          <w:rFonts w:cstheme="minorHAnsi"/>
        </w:rPr>
        <w:t>r</w:t>
      </w:r>
      <w:r w:rsidRPr="00516CFB">
        <w:rPr>
          <w:rFonts w:cstheme="minorHAnsi"/>
          <w:vertAlign w:val="subscript"/>
        </w:rPr>
        <w:t>H</w:t>
      </w:r>
      <w:proofErr w:type="spellEnd"/>
      <w:r>
        <w:rPr>
          <w:rFonts w:cstheme="minorHAnsi"/>
        </w:rPr>
        <w:t xml:space="preserve">, </w:t>
      </w:r>
      <w:proofErr w:type="spellStart"/>
      <w:r>
        <w:rPr>
          <w:rFonts w:cstheme="minorHAnsi"/>
        </w:rPr>
        <w:t>r</w:t>
      </w:r>
      <w:r w:rsidRPr="00516CFB">
        <w:rPr>
          <w:rFonts w:cstheme="minorHAnsi"/>
          <w:vertAlign w:val="subscript"/>
        </w:rPr>
        <w:t>A</w:t>
      </w:r>
      <w:proofErr w:type="spellEnd"/>
      <w:r>
        <w:rPr>
          <w:rFonts w:cstheme="minorHAnsi"/>
        </w:rPr>
        <w:t xml:space="preserve">, </w:t>
      </w:r>
      <w:proofErr w:type="spellStart"/>
      <w:r>
        <w:rPr>
          <w:rFonts w:cstheme="minorHAnsi"/>
        </w:rPr>
        <w:t>μ</w:t>
      </w:r>
      <w:r w:rsidRPr="00516CFB">
        <w:rPr>
          <w:rFonts w:cstheme="minorHAnsi"/>
          <w:vertAlign w:val="subscript"/>
        </w:rPr>
        <w:t>A</w:t>
      </w:r>
      <w:proofErr w:type="spellEnd"/>
      <w:r>
        <w:rPr>
          <w:rFonts w:cstheme="minorHAnsi"/>
        </w:rPr>
        <w:t xml:space="preserve"> and </w:t>
      </w:r>
      <w:proofErr w:type="spellStart"/>
      <w:r>
        <w:rPr>
          <w:rFonts w:cstheme="minorHAnsi"/>
        </w:rPr>
        <w:t>μ</w:t>
      </w:r>
      <w:r w:rsidRPr="00516CFB">
        <w:rPr>
          <w:rFonts w:cstheme="minorHAnsi"/>
          <w:vertAlign w:val="subscript"/>
        </w:rPr>
        <w:t>H</w:t>
      </w:r>
      <w:proofErr w:type="spellEnd"/>
      <w:r>
        <w:rPr>
          <w:rFonts w:cstheme="minorHAnsi"/>
        </w:rPr>
        <w:t xml:space="preserve">), or due to the relative nature of other transmission </w:t>
      </w:r>
      <w:r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xml:space="preserve">, </w:t>
      </w:r>
      <w:r w:rsidR="003D551E">
        <w:rPr>
          <w:rFonts w:cstheme="minorHAnsi"/>
        </w:rPr>
        <w:t>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Pr="00D67AE7">
        <w:rPr>
          <w:rFonts w:cstheme="minorHAnsi"/>
        </w:rPr>
        <w:t>.</w:t>
      </w:r>
      <w:r>
        <w:rPr>
          <w:rFonts w:cstheme="minorHAnsi"/>
        </w:rPr>
        <w:t xml:space="preserve"> These latter parameters </w:t>
      </w:r>
      <w:proofErr w:type="gramStart"/>
      <w:r>
        <w:rPr>
          <w:rFonts w:cstheme="minorHAnsi"/>
        </w:rPr>
        <w:t>were instead held</w:t>
      </w:r>
      <w:proofErr w:type="gramEnd"/>
      <w:r>
        <w:rPr>
          <w:rFonts w:cstheme="minorHAnsi"/>
        </w:rPr>
        <w:t xml:space="preserve"> at static values</w:t>
      </w:r>
      <w:r w:rsidRPr="00D67AE7">
        <w:rPr>
          <w:rFonts w:cstheme="minorHAnsi"/>
        </w:rPr>
        <w:t>.</w:t>
      </w:r>
      <w:r>
        <w:rPr>
          <w:rFonts w:cstheme="minorHAnsi"/>
        </w:rPr>
        <w:t xml:space="preserve"> </w:t>
      </w:r>
      <w:r w:rsidR="007A6CE5">
        <w:rPr>
          <w:rFonts w:cstheme="minorHAnsi"/>
        </w:rPr>
        <w:t>P</w:t>
      </w:r>
      <w:r>
        <w:rPr>
          <w:rFonts w:cstheme="minorHAnsi"/>
        </w:rPr>
        <w:t xml:space="preserve">rior distributions for each </w:t>
      </w:r>
      <w:r w:rsidR="007A6CE5">
        <w:rPr>
          <w:rFonts w:cstheme="minorHAnsi"/>
        </w:rPr>
        <w:t xml:space="preserve">fitted </w:t>
      </w:r>
      <w:r>
        <w:rPr>
          <w:rFonts w:cstheme="minorHAnsi"/>
        </w:rPr>
        <w:t xml:space="preserve">parameter </w:t>
      </w:r>
      <w:proofErr w:type="gramStart"/>
      <w:r>
        <w:rPr>
          <w:rFonts w:cstheme="minorHAnsi"/>
        </w:rPr>
        <w:t>can be found</w:t>
      </w:r>
      <w:proofErr w:type="gramEnd"/>
      <w:r>
        <w:rPr>
          <w:rFonts w:cstheme="minorHAnsi"/>
        </w:rPr>
        <w:t xml:space="preserve"> in </w:t>
      </w:r>
      <w:r w:rsidRPr="002F522E">
        <w:rPr>
          <w:rFonts w:cstheme="minorHAnsi"/>
        </w:rPr>
        <w:t>the supplementary material</w:t>
      </w:r>
      <w:r>
        <w:rPr>
          <w:rFonts w:cstheme="minorHAnsi"/>
        </w:rPr>
        <w:t xml:space="preserve"> </w:t>
      </w:r>
      <w:r w:rsidRPr="002F522E">
        <w:rPr>
          <w:rFonts w:cstheme="minorHAnsi"/>
        </w:rPr>
        <w:t>(Table S3, Figure S</w:t>
      </w:r>
      <w:r w:rsidR="002F522E" w:rsidRPr="002F522E">
        <w:rPr>
          <w:rFonts w:cstheme="minorHAnsi"/>
        </w:rPr>
        <w:t>2</w:t>
      </w:r>
      <w:r w:rsidRPr="002F522E">
        <w:rPr>
          <w:rFonts w:cstheme="minorHAnsi"/>
        </w:rPr>
        <w:t>)</w:t>
      </w:r>
      <w:r>
        <w:rPr>
          <w:rFonts w:cstheme="minorHAnsi"/>
        </w:rPr>
        <w:t xml:space="preserve">. </w:t>
      </w:r>
    </w:p>
    <w:p w14:paraId="60EE8E65" w14:textId="77777777" w:rsidR="007A6CE5" w:rsidRDefault="007A6CE5" w:rsidP="008D5DB0">
      <w:pPr>
        <w:pStyle w:val="NoSpacing"/>
        <w:spacing w:line="360" w:lineRule="auto"/>
        <w:jc w:val="both"/>
        <w:rPr>
          <w:rFonts w:cstheme="minorHAnsi"/>
        </w:rPr>
      </w:pPr>
    </w:p>
    <w:p w14:paraId="216B6D0A" w14:textId="77777777" w:rsidR="00F8032F" w:rsidRDefault="008D5DB0" w:rsidP="008D5DB0">
      <w:pPr>
        <w:pStyle w:val="NoSpacing"/>
        <w:spacing w:line="360" w:lineRule="auto"/>
        <w:jc w:val="both"/>
        <w:rPr>
          <w:rFonts w:cstheme="minorHAnsi"/>
        </w:rPr>
      </w:pPr>
      <w:r>
        <w:rPr>
          <w:rFonts w:cstheme="minorHAnsi"/>
        </w:rPr>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 xml:space="preserve">(ε) </w:t>
      </w:r>
      <w:r>
        <w:rPr>
          <w:rFonts w:cstheme="minorHAnsi"/>
        </w:rPr>
        <w:t>can be found in the</w:t>
      </w:r>
      <w:r w:rsidRPr="00ED245A">
        <w:rPr>
          <w:rFonts w:cstheme="minorHAnsi"/>
          <w:b/>
          <w:bCs/>
        </w:rPr>
        <w:t xml:space="preserve"> </w:t>
      </w:r>
      <w:r w:rsidRPr="002F522E">
        <w:rPr>
          <w:rFonts w:cstheme="minorHAnsi"/>
        </w:rPr>
        <w:t>supplementary material (Table S4).</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Pr>
          <w:rFonts w:cstheme="minorHAnsi"/>
        </w:rPr>
        <w:t xml:space="preserve"> </w:t>
      </w:r>
      <w:r w:rsidR="00C95575">
        <w:t>(</w:t>
      </w:r>
      <w:r w:rsidR="00C95575" w:rsidRPr="00CD09DF">
        <w:rPr>
          <w:b/>
          <w:bCs/>
          <w:highlight w:val="yellow"/>
        </w:rPr>
        <w:t>CITE</w:t>
      </w:r>
      <w:r w:rsidR="00C95575">
        <w:t>)</w:t>
      </w:r>
      <w:r w:rsidR="00C95575">
        <w:rPr>
          <w:rFonts w:cstheme="minorHAnsi"/>
        </w:rPr>
        <w:t xml:space="preserve">. </w:t>
      </w:r>
    </w:p>
    <w:p w14:paraId="6AFBFB93" w14:textId="77777777" w:rsidR="00F8032F" w:rsidRDefault="00F8032F" w:rsidP="008D5DB0">
      <w:pPr>
        <w:pStyle w:val="NoSpacing"/>
        <w:spacing w:line="360" w:lineRule="auto"/>
        <w:jc w:val="both"/>
        <w:rPr>
          <w:rFonts w:cstheme="minorHAnsi"/>
        </w:rPr>
      </w:pPr>
    </w:p>
    <w:p w14:paraId="0AA62008" w14:textId="1DB16812" w:rsidR="00CD09DF" w:rsidRPr="00A339C8" w:rsidRDefault="001142A2" w:rsidP="008D5DB0">
      <w:pPr>
        <w:pStyle w:val="NoSpacing"/>
        <w:spacing w:line="360" w:lineRule="auto"/>
        <w:jc w:val="both"/>
        <w:rPr>
          <w:rFonts w:cstheme="minorHAnsi"/>
        </w:rPr>
      </w:pPr>
      <w:r w:rsidRPr="003D551E">
        <w:rPr>
          <w:rFonts w:cstheme="minorHAnsi"/>
          <w:highlight w:val="yellow"/>
        </w:rPr>
        <w:t>M</w:t>
      </w:r>
      <w:r w:rsidR="008D5DB0" w:rsidRPr="003D551E">
        <w:rPr>
          <w:rFonts w:eastAsiaTheme="minorEastAsia"/>
          <w:iCs/>
          <w:highlight w:val="yellow"/>
        </w:rPr>
        <w:t>ean point estimate</w:t>
      </w:r>
      <w:r w:rsidRPr="003D551E">
        <w:rPr>
          <w:rFonts w:eastAsiaTheme="minorEastAsia"/>
          <w:iCs/>
          <w:highlight w:val="yellow"/>
        </w:rPr>
        <w:t>s</w:t>
      </w:r>
      <w:r w:rsidR="008D5DB0">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Pr>
          <w:rFonts w:eastAsiaTheme="minorEastAsia"/>
          <w:iCs/>
        </w:rPr>
        <w:t xml:space="preserve">marginal </w:t>
      </w:r>
      <w:r w:rsidR="008D5DB0">
        <w:rPr>
          <w:rFonts w:eastAsiaTheme="minorEastAsia"/>
          <w:iCs/>
        </w:rPr>
        <w:t xml:space="preserve">posterior </w:t>
      </w:r>
      <w:r>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tenth accepted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(Table S2)</w:t>
      </w:r>
      <w:r w:rsidR="008D5DB0" w:rsidRPr="002F522E">
        <w:rPr>
          <w:rFonts w:eastAsiaTheme="minorEastAsia"/>
          <w:iCs/>
        </w:rPr>
        <w:t>.</w:t>
      </w:r>
    </w:p>
    <w:p w14:paraId="3880CF00" w14:textId="409205CC" w:rsidR="005A793B" w:rsidRDefault="005A793B" w:rsidP="008D5DB0">
      <w:pPr>
        <w:pStyle w:val="NoSpacing"/>
        <w:spacing w:line="360" w:lineRule="auto"/>
        <w:jc w:val="both"/>
      </w:pPr>
    </w:p>
    <w:p w14:paraId="16C02399" w14:textId="12D35C50" w:rsidR="00552096" w:rsidRPr="00713317" w:rsidRDefault="008D5DB0" w:rsidP="00552096">
      <w:pPr>
        <w:pStyle w:val="NoSpacing"/>
        <w:numPr>
          <w:ilvl w:val="0"/>
          <w:numId w:val="11"/>
        </w:numPr>
        <w:spacing w:line="360" w:lineRule="auto"/>
        <w:jc w:val="both"/>
        <w:rPr>
          <w:rFonts w:eastAsiaTheme="minorEastAsia"/>
          <w:b/>
          <w:bCs/>
          <w:iCs/>
          <w:u w:val="single"/>
        </w:rPr>
      </w:pPr>
      <w:r w:rsidRPr="0034301A">
        <w:rPr>
          <w:rFonts w:eastAsiaTheme="minorEastAsia"/>
          <w:b/>
          <w:bCs/>
          <w:iCs/>
          <w:u w:val="single"/>
        </w:rPr>
        <w:t xml:space="preserve">Sensitivity Analysis </w:t>
      </w:r>
    </w:p>
    <w:p w14:paraId="02DEC86F" w14:textId="17A058A4" w:rsidR="008D5DB0" w:rsidRDefault="008D5DB0" w:rsidP="008D5DB0">
      <w:pPr>
        <w:pStyle w:val="NoSpacing"/>
        <w:spacing w:line="360" w:lineRule="auto"/>
        <w:jc w:val="both"/>
        <w:rPr>
          <w:rFonts w:cstheme="minorHAnsi"/>
        </w:rPr>
      </w:pPr>
      <w:bookmarkStart w:id="1" w:name="_Hlk68637439"/>
      <w:r w:rsidRPr="001D0A36">
        <w:t>A Fourier amplitude sensitivity test (FAST) approach was used to conduct a sensitivity analysis</w:t>
      </w:r>
      <w:r>
        <w:t xml:space="preserve"> of the model system to the model parameters with regards to two outcome measures</w:t>
      </w:r>
      <w:r w:rsidR="0012774A">
        <w:t xml:space="preserve"> (</w:t>
      </w:r>
      <w:r w:rsidR="0012774A" w:rsidRPr="00CD09DF">
        <w:rPr>
          <w:b/>
          <w:bCs/>
          <w:highlight w:val="yellow"/>
        </w:rPr>
        <w:t>CITE</w:t>
      </w:r>
      <w:r w:rsidR="0012774A">
        <w:t>)</w:t>
      </w:r>
      <w:r>
        <w:t xml:space="preserve">: 1) the overall prevalence of human foodborne infection and 2) proportion of resistant human infection.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average of the fitted 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6D5D14F6" w:rsidR="008D5DB0" w:rsidRPr="009A7AF0" w:rsidRDefault="008D5DB0" w:rsidP="008D5DB0">
      <w:pPr>
        <w:pStyle w:val="NoSpacing"/>
        <w:spacing w:line="360" w:lineRule="auto"/>
        <w:jc w:val="both"/>
        <w:rPr>
          <w:rFonts w:cstheme="minorHAnsi"/>
        </w:rPr>
      </w:pPr>
      <w:r w:rsidRPr="009A7AF0">
        <w:t xml:space="preserve">The FAST approach was also used to identify the sensitivity of the model system to two intervention related outcome measures: 1) </w:t>
      </w:r>
      <w:bookmarkStart w:id="2" w:name="_Hlk55402071"/>
      <w:r w:rsidRPr="009A7AF0">
        <w:t>R</w:t>
      </w:r>
      <w:r w:rsidRPr="009A7AF0">
        <w:rPr>
          <w:rFonts w:cstheme="minorHAnsi"/>
        </w:rPr>
        <w:t>elative changes in I</w:t>
      </w:r>
      <w:r w:rsidR="0084700F" w:rsidRPr="00E7197B">
        <w:rPr>
          <w:rFonts w:cstheme="minorHAnsi"/>
          <w:vertAlign w:val="superscript"/>
        </w:rPr>
        <w:t>*</w:t>
      </w:r>
      <w:r w:rsidRPr="009A7AF0">
        <w:rPr>
          <w:rFonts w:cstheme="minorHAnsi"/>
          <w:vertAlign w:val="subscript"/>
        </w:rPr>
        <w:t>H</w:t>
      </w:r>
      <w:r w:rsidRPr="009A7AF0">
        <w:rPr>
          <w:rFonts w:cstheme="minorHAnsi"/>
        </w:rPr>
        <w:t xml:space="preserve"> when livestock antibiotics were curtailed (</w:t>
      </w:r>
      <w:r w:rsidRPr="009A7AF0">
        <w:rPr>
          <w:rFonts w:cstheme="minorHAnsi"/>
          <w:i/>
          <w:iCs/>
        </w:rPr>
        <w:t>τ</w:t>
      </w:r>
      <w:r w:rsidRPr="009A7AF0">
        <w:rPr>
          <w:rFonts w:cstheme="minorHAnsi"/>
        </w:rPr>
        <w:t xml:space="preserve"> = 0 g/</w:t>
      </w:r>
      <w:r w:rsidR="00FC0F20">
        <w:rPr>
          <w:rFonts w:cstheme="minorHAnsi"/>
        </w:rPr>
        <w:t>population correction unit (</w:t>
      </w:r>
      <w:r w:rsidRPr="009A7AF0">
        <w:rPr>
          <w:rFonts w:cstheme="minorHAnsi"/>
        </w:rPr>
        <w:t>PCU</w:t>
      </w:r>
      <w:r w:rsidR="00FC0F20">
        <w:rPr>
          <w:rFonts w:cstheme="minorHAnsi"/>
        </w:rPr>
        <w:t>)</w:t>
      </w:r>
      <w:r w:rsidRPr="009A7AF0">
        <w:rPr>
          <w:rFonts w:cstheme="minorHAnsi"/>
        </w:rPr>
        <w:t>), compared to I</w:t>
      </w:r>
      <w:r w:rsidR="0084700F">
        <w:rPr>
          <w:rFonts w:cstheme="minorHAnsi"/>
          <w:vertAlign w:val="subscript"/>
        </w:rPr>
        <w:t>R</w:t>
      </w:r>
      <w:r w:rsidRPr="009A7AF0">
        <w:rPr>
          <w:rFonts w:cstheme="minorHAnsi"/>
          <w:vertAlign w:val="subscript"/>
        </w:rPr>
        <w:t>H</w:t>
      </w:r>
      <w:r w:rsidR="0084700F">
        <w:rPr>
          <w:rFonts w:cstheme="minorHAnsi"/>
          <w:vertAlign w:val="subscript"/>
        </w:rPr>
        <w:t>Prop</w:t>
      </w:r>
      <w:r w:rsidRPr="009A7AF0">
        <w:rPr>
          <w:rFonts w:cstheme="minorHAnsi"/>
        </w:rPr>
        <w:t xml:space="preserve"> at mean baseline livestock antibiotic usage across the three case </w:t>
      </w:r>
      <w:r w:rsidRPr="003D551E">
        <w:rPr>
          <w:rFonts w:cstheme="minorHAnsi"/>
          <w:highlight w:val="yellow"/>
        </w:rPr>
        <w:t>studies (</w:t>
      </w:r>
      <w:r w:rsidRPr="003D551E">
        <w:rPr>
          <w:rFonts w:cstheme="minorHAnsi"/>
          <w:i/>
          <w:iCs/>
          <w:highlight w:val="yellow"/>
        </w:rPr>
        <w:t xml:space="preserve">τ </w:t>
      </w:r>
      <w:r w:rsidRPr="003D551E">
        <w:rPr>
          <w:rFonts w:cstheme="minorHAnsi"/>
          <w:highlight w:val="yellow"/>
        </w:rPr>
        <w:t>= 0.0102 g/PCU)</w:t>
      </w:r>
      <w:bookmarkEnd w:id="2"/>
      <w:r w:rsidRPr="009A7AF0">
        <w:rPr>
          <w:rFonts w:cstheme="minorHAnsi"/>
        </w:rPr>
        <w:t xml:space="preserve"> and 2) Relative changes in I</w:t>
      </w:r>
      <w:r w:rsidR="0084700F" w:rsidRPr="00E7197B">
        <w:rPr>
          <w:rFonts w:cstheme="minorHAnsi"/>
          <w:vertAlign w:val="superscript"/>
        </w:rPr>
        <w:t>*</w:t>
      </w:r>
      <w:r w:rsidRPr="009A7AF0">
        <w:rPr>
          <w:rFonts w:cstheme="minorHAnsi"/>
          <w:vertAlign w:val="subscript"/>
        </w:rPr>
        <w:t>H</w:t>
      </w:r>
      <w:r w:rsidRPr="009A7AF0">
        <w:rPr>
          <w:rFonts w:cstheme="minorHAnsi"/>
        </w:rPr>
        <w:t xml:space="preserve"> under antibiotic curtailment (0 g/PCU) relative to what is currently observed with current levels of antibiotic usage </w:t>
      </w:r>
      <w:r w:rsidRPr="009A7AF0">
        <w:rPr>
          <w:rFonts w:cstheme="minorHAnsi"/>
        </w:rPr>
        <w:lastRenderedPageBreak/>
        <w:t>(3.26 per 100,000).</w:t>
      </w:r>
      <w:r w:rsidR="0018541F">
        <w:rPr>
          <w:rFonts w:cstheme="minorHAnsi"/>
        </w:rPr>
        <w:t xml:space="preserve"> </w:t>
      </w:r>
      <w:r w:rsidR="00E6679A">
        <w:rPr>
          <w:rFonts w:cstheme="minorHAnsi"/>
        </w:rPr>
        <w:t>A</w:t>
      </w:r>
      <w:r w:rsidR="0018541F">
        <w:rPr>
          <w:rFonts w:cstheme="minorHAnsi"/>
        </w:rPr>
        <w:t xml:space="preserve"> 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bookmarkEnd w:id="1"/>
    <w:p w14:paraId="14A1DCA9" w14:textId="5319B709" w:rsidR="008D5DB0" w:rsidRDefault="008D5DB0" w:rsidP="008D5DB0"/>
    <w:p w14:paraId="1C8FA7AB" w14:textId="4E2004F7" w:rsidR="005350CF" w:rsidRDefault="005350CF" w:rsidP="008D5DB0"/>
    <w:p w14:paraId="3D6B5A43" w14:textId="5A7290B5" w:rsidR="005350CF" w:rsidRDefault="005350CF" w:rsidP="008D5DB0"/>
    <w:p w14:paraId="78265DD2" w14:textId="72EA3AF8" w:rsidR="005350CF" w:rsidRDefault="005350CF" w:rsidP="008D5DB0"/>
    <w:p w14:paraId="1EE53BB3" w14:textId="5B300264" w:rsidR="005350CF" w:rsidRDefault="005350CF" w:rsidP="008D5DB0"/>
    <w:p w14:paraId="5BD8914A" w14:textId="1E4AB15B" w:rsidR="005350CF" w:rsidRDefault="005350CF" w:rsidP="008D5DB0"/>
    <w:p w14:paraId="3282B1FF" w14:textId="5AF3577B" w:rsidR="005350CF" w:rsidRDefault="005350CF" w:rsidP="008D5DB0"/>
    <w:p w14:paraId="446FED57" w14:textId="14F0EC6A" w:rsidR="005350CF" w:rsidRDefault="005350CF" w:rsidP="008D5DB0"/>
    <w:p w14:paraId="79AA4EC2" w14:textId="159C67C8" w:rsidR="005350CF" w:rsidRDefault="005350CF" w:rsidP="008D5DB0"/>
    <w:p w14:paraId="2C462E83" w14:textId="1B731CAD" w:rsidR="005350CF" w:rsidRDefault="005350CF" w:rsidP="008D5DB0"/>
    <w:p w14:paraId="2A1FDE75" w14:textId="23A5FE88" w:rsidR="005350CF" w:rsidRDefault="005350CF" w:rsidP="008D5DB0"/>
    <w:p w14:paraId="32225A95" w14:textId="6AF9E24A" w:rsidR="005350CF" w:rsidRDefault="005350CF" w:rsidP="008D5DB0"/>
    <w:p w14:paraId="0F6B1AC3" w14:textId="1AEE5148" w:rsidR="005350CF" w:rsidRDefault="005350CF" w:rsidP="008D5DB0"/>
    <w:p w14:paraId="43B0F19A" w14:textId="76316E7E" w:rsidR="005350CF" w:rsidRDefault="005350CF" w:rsidP="008D5DB0"/>
    <w:p w14:paraId="6168D7E6" w14:textId="0E2F83C6" w:rsidR="005350CF" w:rsidRDefault="005350CF" w:rsidP="008D5DB0"/>
    <w:p w14:paraId="4FDF0803" w14:textId="3A434710" w:rsidR="005350CF" w:rsidRDefault="005350CF" w:rsidP="008D5DB0"/>
    <w:p w14:paraId="420A00D6" w14:textId="14CEEB49" w:rsidR="005350CF" w:rsidRDefault="005350CF" w:rsidP="008D5DB0"/>
    <w:p w14:paraId="61250551" w14:textId="6449DE4C" w:rsidR="005350CF" w:rsidRDefault="005350CF" w:rsidP="008D5DB0"/>
    <w:p w14:paraId="00E1FCB4" w14:textId="78A838DD" w:rsidR="005350CF" w:rsidRDefault="005350CF" w:rsidP="008D5DB0"/>
    <w:p w14:paraId="689A6E52" w14:textId="078724B9" w:rsidR="005350CF" w:rsidRDefault="005350CF" w:rsidP="008D5DB0"/>
    <w:p w14:paraId="66987405" w14:textId="01A7C11B" w:rsidR="005350CF" w:rsidRDefault="005350CF" w:rsidP="008D5DB0"/>
    <w:p w14:paraId="1BA7E1C2" w14:textId="78B96732" w:rsidR="005350CF" w:rsidRDefault="005350CF" w:rsidP="008D5DB0"/>
    <w:p w14:paraId="7BB8F0B5" w14:textId="29153812" w:rsidR="003D551E" w:rsidRDefault="003D551E" w:rsidP="008D5DB0"/>
    <w:p w14:paraId="2E14DE33" w14:textId="719D0994" w:rsidR="003D551E" w:rsidRDefault="003D551E" w:rsidP="008D5DB0"/>
    <w:p w14:paraId="30855A0E" w14:textId="06DCA0E2" w:rsidR="003D551E" w:rsidRDefault="003D551E" w:rsidP="008D5DB0"/>
    <w:p w14:paraId="5914B0C0" w14:textId="09CDADDD" w:rsidR="003D551E" w:rsidRDefault="003D551E" w:rsidP="008D5DB0"/>
    <w:p w14:paraId="3293B148" w14:textId="6704E142" w:rsidR="003D551E" w:rsidRDefault="003D551E" w:rsidP="008D5DB0"/>
    <w:p w14:paraId="41429378" w14:textId="32202B0D" w:rsidR="003D551E" w:rsidRDefault="003D551E" w:rsidP="008D5DB0"/>
    <w:p w14:paraId="17205E01" w14:textId="77777777" w:rsidR="003D551E" w:rsidRDefault="003D551E" w:rsidP="008D5DB0"/>
    <w:p w14:paraId="0333476E" w14:textId="77777777" w:rsidR="008D5DB0" w:rsidRDefault="008D5DB0" w:rsidP="008D5DB0">
      <w:pPr>
        <w:pStyle w:val="NoSpacing"/>
        <w:spacing w:line="360" w:lineRule="auto"/>
        <w:jc w:val="center"/>
        <w:rPr>
          <w:rFonts w:cstheme="minorHAnsi"/>
          <w:b/>
          <w:u w:val="single"/>
        </w:rPr>
      </w:pPr>
      <w:r>
        <w:rPr>
          <w:rFonts w:cstheme="minorHAnsi"/>
          <w:b/>
          <w:u w:val="single"/>
        </w:rPr>
        <w:lastRenderedPageBreak/>
        <w:t>RESULTS</w:t>
      </w:r>
    </w:p>
    <w:p w14:paraId="5A201FE2" w14:textId="77777777" w:rsidR="002A5D71" w:rsidRDefault="002A5D71" w:rsidP="008D5DB0">
      <w:pPr>
        <w:pStyle w:val="NoSpacing"/>
        <w:spacing w:line="360" w:lineRule="auto"/>
        <w:jc w:val="both"/>
        <w:rPr>
          <w:rFonts w:cstheme="minorHAnsi"/>
          <w:bCs/>
        </w:rPr>
      </w:pPr>
    </w:p>
    <w:p w14:paraId="425C1BAE" w14:textId="2301986B" w:rsidR="008D5DB0" w:rsidRPr="00117788" w:rsidRDefault="008D5DB0" w:rsidP="008D5DB0">
      <w:pPr>
        <w:pStyle w:val="NoSpacing"/>
        <w:spacing w:line="360" w:lineRule="auto"/>
        <w:jc w:val="both"/>
        <w:rPr>
          <w:rFonts w:cstheme="minorHAnsi"/>
        </w:rPr>
      </w:pPr>
      <w:r w:rsidRPr="00D67AE7">
        <w:rPr>
          <w:rFonts w:cstheme="minorHAnsi"/>
        </w:rPr>
        <w:t xml:space="preserve">The relationship between observed country-level antibiotic </w:t>
      </w:r>
      <w:r w:rsidR="00D67AE7" w:rsidRPr="00D67AE7">
        <w:rPr>
          <w:rFonts w:cstheme="minorHAnsi"/>
        </w:rPr>
        <w:t>usage</w:t>
      </w:r>
      <w:r w:rsidRPr="00D67AE7">
        <w:rPr>
          <w:rFonts w:cstheme="minorHAnsi"/>
        </w:rPr>
        <w:t xml:space="preserve"> data and livestock tetracycline/ampicillin-resistance surveillance data was plotted for all three case studies, with the </w:t>
      </w:r>
      <w:r w:rsidR="002A5D71">
        <w:rPr>
          <w:rFonts w:cstheme="minorHAnsi"/>
        </w:rPr>
        <w:t>simulated</w:t>
      </w:r>
      <w:r w:rsidRPr="00D67AE7">
        <w:rPr>
          <w:rFonts w:cstheme="minorHAnsi"/>
        </w:rPr>
        <w:t xml:space="preserve"> </w:t>
      </w:r>
      <w:r w:rsidRPr="00B609F0">
        <w:rPr>
          <w:rFonts w:cstheme="minorHAnsi"/>
        </w:rPr>
        <w:t>model estimate</w:t>
      </w:r>
      <w:r w:rsidR="009F2F4B">
        <w:rPr>
          <w:rFonts w:cstheme="minorHAnsi"/>
        </w:rPr>
        <w:t>,</w:t>
      </w:r>
      <w:r w:rsidR="002A5D71" w:rsidRPr="00B609F0">
        <w:rPr>
          <w:rFonts w:cstheme="minorHAnsi"/>
        </w:rPr>
        <w:t xml:space="preserve"> parameterised using ESVAC/EFSA data</w:t>
      </w:r>
      <w:r w:rsidR="009F2F4B">
        <w:rPr>
          <w:rFonts w:cstheme="minorHAnsi"/>
        </w:rPr>
        <w:t>,</w:t>
      </w:r>
      <w:r w:rsidRPr="00B609F0">
        <w:rPr>
          <w:rFonts w:cstheme="minorHAnsi"/>
        </w:rPr>
        <w:t xml:space="preserve"> </w:t>
      </w:r>
      <w:r w:rsidRPr="002F522E">
        <w:rPr>
          <w:rFonts w:cstheme="minorHAnsi"/>
        </w:rPr>
        <w:t>overlaid (Figure 2)</w:t>
      </w:r>
      <w:r w:rsidR="002F522E">
        <w:rPr>
          <w:rFonts w:cstheme="minorHAnsi"/>
        </w:rPr>
        <w:t xml:space="preserve">. </w:t>
      </w:r>
      <w:r w:rsidR="00612990" w:rsidRPr="002F522E">
        <w:rPr>
          <w:rFonts w:cstheme="minorHAnsi"/>
        </w:rPr>
        <w:t>It</w:t>
      </w:r>
      <w:r w:rsidR="00612990" w:rsidRPr="00B609F0">
        <w:rPr>
          <w:rFonts w:cstheme="minorHAnsi"/>
        </w:rPr>
        <w:t xml:space="preserve"> is important</w:t>
      </w:r>
      <w:r w:rsidR="002A5D71" w:rsidRPr="00B609F0">
        <w:rPr>
          <w:rFonts w:cstheme="minorHAnsi"/>
        </w:rPr>
        <w:t xml:space="preserve"> to note that </w:t>
      </w:r>
      <w:r w:rsidR="00F8032F">
        <w:rPr>
          <w:rFonts w:cstheme="minorHAnsi"/>
        </w:rPr>
        <w:t xml:space="preserve">the </w:t>
      </w:r>
      <w:r w:rsidR="002A5D71" w:rsidRPr="00B609F0">
        <w:rPr>
          <w:rFonts w:cstheme="minorHAnsi"/>
        </w:rPr>
        <w:t>existence of the ζ parameter (ζ &gt; 0) is necessary to prevent I</w:t>
      </w:r>
      <w:r w:rsidR="002A5D71" w:rsidRPr="00B609F0">
        <w:rPr>
          <w:rFonts w:cstheme="minorHAnsi"/>
          <w:vertAlign w:val="subscript"/>
        </w:rPr>
        <w:t>RHProp</w:t>
      </w:r>
      <w:r w:rsidR="002A5D71" w:rsidRPr="00B609F0">
        <w:rPr>
          <w:rFonts w:cstheme="minorHAnsi"/>
        </w:rPr>
        <w:t xml:space="preserve"> decreasing to 0 upon livestock antib</w:t>
      </w:r>
      <w:r w:rsidR="00612990" w:rsidRPr="00B609F0">
        <w:rPr>
          <w:rFonts w:cstheme="minorHAnsi"/>
        </w:rPr>
        <w:t xml:space="preserve">iotic curtailment. </w:t>
      </w:r>
      <w:r w:rsidR="002A5D71" w:rsidRPr="00B609F0">
        <w:rPr>
          <w:rFonts w:cstheme="minorHAnsi"/>
        </w:rPr>
        <w:t>I</w:t>
      </w:r>
      <w:r w:rsidR="00612990" w:rsidRPr="00B609F0">
        <w:rPr>
          <w:rFonts w:cstheme="minorHAnsi"/>
        </w:rPr>
        <w:t>n</w:t>
      </w:r>
      <w:r w:rsidR="002A5D71" w:rsidRPr="00B609F0">
        <w:rPr>
          <w:rFonts w:cstheme="minorHAnsi"/>
        </w:rPr>
        <w:t>clusion of the ζ parameter was shown to provide a better fit to the model compared to a null model with ζ = 0</w:t>
      </w:r>
      <w:r w:rsidR="00612990" w:rsidRPr="00B609F0">
        <w:rPr>
          <w:rFonts w:cstheme="minorHAnsi"/>
          <w:b/>
          <w:bCs/>
        </w:rPr>
        <w:t xml:space="preserve"> </w:t>
      </w:r>
      <w:r w:rsidR="00612990" w:rsidRPr="002F522E">
        <w:rPr>
          <w:rFonts w:cstheme="minorHAnsi"/>
        </w:rPr>
        <w:t>(</w:t>
      </w:r>
      <w:r w:rsidR="002F522E">
        <w:rPr>
          <w:rFonts w:cstheme="minorHAnsi"/>
        </w:rPr>
        <w:t>supplementary material; Figure S1</w:t>
      </w:r>
      <w:r w:rsidR="00612990" w:rsidRPr="002F522E">
        <w:rPr>
          <w:rFonts w:cstheme="minorHAnsi"/>
        </w:rPr>
        <w:t>)</w:t>
      </w:r>
      <w:r w:rsidR="002A5D71" w:rsidRPr="002F522E">
        <w:rPr>
          <w:rFonts w:cstheme="minorHAnsi"/>
        </w:rPr>
        <w:t>.</w:t>
      </w:r>
      <w:r w:rsidR="002F522E" w:rsidRPr="002F522E">
        <w:rPr>
          <w:rFonts w:cstheme="minorHAnsi"/>
        </w:rPr>
        <w:t xml:space="preserve"> </w:t>
      </w:r>
      <w:r w:rsidR="002F522E">
        <w:rPr>
          <w:rFonts w:cstheme="minorHAnsi"/>
        </w:rPr>
        <w:t xml:space="preserve"> Approximated marginal posterior probability distributions</w:t>
      </w:r>
      <w:r w:rsidR="009F2F4B">
        <w:rPr>
          <w:rFonts w:cstheme="minorHAnsi"/>
        </w:rPr>
        <w:t xml:space="preserve"> for the fitted model parameters</w:t>
      </w:r>
      <w:r w:rsidR="002F522E">
        <w:rPr>
          <w:rFonts w:cstheme="minorHAnsi"/>
        </w:rPr>
        <w:t xml:space="preserve"> from the ABC-SMC approach can be found in the supplementary material (Figure S3)</w:t>
      </w:r>
      <w:r w:rsidR="002F522E" w:rsidRPr="002F522E">
        <w:rPr>
          <w:rFonts w:cstheme="minorHAnsi"/>
        </w:rPr>
        <w:t>.</w:t>
      </w:r>
    </w:p>
    <w:p w14:paraId="629EB468" w14:textId="77777777" w:rsidR="008D5DB0" w:rsidRDefault="008D5DB0" w:rsidP="008D5DB0">
      <w:pPr>
        <w:pStyle w:val="NoSpacing"/>
        <w:spacing w:line="360" w:lineRule="auto"/>
        <w:jc w:val="both"/>
        <w:rPr>
          <w:rFonts w:cstheme="minorHAnsi"/>
        </w:rPr>
      </w:pPr>
    </w:p>
    <w:p w14:paraId="7D7BDD95" w14:textId="1DD39FD3" w:rsidR="008D5DB0" w:rsidRDefault="000274E1" w:rsidP="008D5DB0">
      <w:pPr>
        <w:pStyle w:val="NoSpacing"/>
        <w:spacing w:line="360" w:lineRule="auto"/>
        <w:jc w:val="center"/>
        <w:rPr>
          <w:rFonts w:cstheme="minorHAnsi"/>
        </w:rPr>
      </w:pPr>
      <w:r>
        <w:rPr>
          <w:noProof/>
          <w:lang w:eastAsia="en-GB"/>
        </w:rPr>
        <w:drawing>
          <wp:inline distT="0" distB="0" distL="0" distR="0" wp14:anchorId="3117CFDF" wp14:editId="1A7315AC">
            <wp:extent cx="5731510" cy="2047240"/>
            <wp:effectExtent l="0" t="0" r="0" b="0"/>
            <wp:docPr id="12" name="Picture 12" descr="A picture containing text, antenna,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antenna, da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a:ln>
                      <a:noFill/>
                    </a:ln>
                  </pic:spPr>
                </pic:pic>
              </a:graphicData>
            </a:graphic>
          </wp:inline>
        </w:drawing>
      </w:r>
    </w:p>
    <w:p w14:paraId="13F09B3C" w14:textId="445B45EC" w:rsidR="008D5DB0" w:rsidRPr="00D67AE7" w:rsidRDefault="008D5DB0" w:rsidP="008D5DB0">
      <w:pPr>
        <w:pStyle w:val="NoSpacing"/>
        <w:spacing w:line="360" w:lineRule="auto"/>
        <w:jc w:val="both"/>
        <w:rPr>
          <w:rFonts w:cstheme="minorHAnsi"/>
        </w:rPr>
      </w:pPr>
      <w:r w:rsidRPr="00D67AE7">
        <w:rPr>
          <w:rFonts w:cstheme="minorHAnsi"/>
          <w:b/>
        </w:rPr>
        <w:t xml:space="preserve">Figure 2 – </w:t>
      </w:r>
      <w:r w:rsidR="003D551E" w:rsidRPr="003D551E">
        <w:rPr>
          <w:rFonts w:cstheme="minorHAnsi"/>
          <w:b/>
          <w:highlight w:val="yellow"/>
        </w:rPr>
        <w:t>FOUR PLOTS NOW</w:t>
      </w:r>
      <w:r w:rsidR="003D551E">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Tetracycline-resistance in fattening pigs, B) Ampicillin-resistance in fattening pigs and C) Tetracycline-resistance in broiler poultry.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the </w:t>
      </w:r>
      <w:r w:rsidR="00F8032F">
        <w:rPr>
          <w:rFonts w:cstheme="minorHAnsi"/>
          <w:bCs/>
        </w:rPr>
        <w:t xml:space="preserve">output from the </w:t>
      </w:r>
      <w:r w:rsidRPr="000B01BB">
        <w:rPr>
          <w:rFonts w:cstheme="minorHAnsi"/>
          <w:bCs/>
        </w:rPr>
        <w:t>model fit</w:t>
      </w:r>
      <w:r w:rsidR="000B01BB">
        <w:rPr>
          <w:rFonts w:cstheme="minorHAnsi"/>
          <w:bCs/>
        </w:rPr>
        <w:t xml:space="preserve"> and </w:t>
      </w:r>
      <w:r w:rsidR="00F8032F">
        <w:rPr>
          <w:rFonts w:cstheme="minorHAnsi"/>
          <w:bCs/>
        </w:rPr>
        <w:t xml:space="preserve">the corresponding </w:t>
      </w:r>
      <w:r w:rsidR="000B01BB">
        <w:rPr>
          <w:rFonts w:cstheme="minorHAnsi"/>
          <w:bCs/>
        </w:rPr>
        <w:t>95% HDIs</w:t>
      </w:r>
      <w:r w:rsidRPr="000B01BB">
        <w:rPr>
          <w:rFonts w:cstheme="minorHAnsi"/>
          <w:bCs/>
        </w:rPr>
        <w:t xml:space="preserve"> using the </w:t>
      </w:r>
      <w:r w:rsidR="000B01BB">
        <w:rPr>
          <w:rFonts w:cstheme="minorHAnsi"/>
          <w:bCs/>
        </w:rPr>
        <w:t xml:space="preserve">parameter point estimates from marginal posterior probability distribution.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0801B40" w14:textId="77777777" w:rsidR="008D5DB0" w:rsidRDefault="008D5DB0" w:rsidP="008D5DB0">
      <w:pPr>
        <w:pStyle w:val="NoSpacing"/>
        <w:spacing w:line="360" w:lineRule="auto"/>
        <w:jc w:val="both"/>
        <w:rPr>
          <w:rFonts w:cstheme="minorHAnsi"/>
        </w:rPr>
      </w:pPr>
    </w:p>
    <w:p w14:paraId="1DA2208C" w14:textId="12A5CF99" w:rsidR="008D5DB0" w:rsidRPr="00D67AE7" w:rsidRDefault="008D5DB0" w:rsidP="008D5DB0">
      <w:pPr>
        <w:pStyle w:val="NoSpacing"/>
        <w:spacing w:line="360" w:lineRule="auto"/>
        <w:jc w:val="both"/>
        <w:rPr>
          <w:rFonts w:cstheme="minorHAnsi"/>
        </w:rPr>
      </w:pPr>
      <w:r w:rsidRPr="00D67AE7">
        <w:rPr>
          <w:rFonts w:cstheme="minorHAnsi"/>
        </w:rPr>
        <w:t xml:space="preserve">A Fourier amplitude sensitivity testing (FAST) approach was used to explore the </w:t>
      </w:r>
      <w:r w:rsidR="0018541F" w:rsidRPr="00D67AE7">
        <w:rPr>
          <w:rFonts w:cstheme="minorHAnsi"/>
        </w:rPr>
        <w:t>sensitivity</w:t>
      </w:r>
      <w:r w:rsidRPr="00D67AE7">
        <w:rPr>
          <w:rFonts w:cstheme="minorHAnsi"/>
        </w:rPr>
        <w:t xml:space="preserve"> of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and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sidRPr="00D67AE7">
        <w:rPr>
          <w:rFonts w:cstheme="minorHAnsi"/>
        </w:rPr>
        <w:t>outcome measures to the model parameters. The most influential parameters for I</w:t>
      </w:r>
      <w:r w:rsidR="00E7197B" w:rsidRPr="00D67AE7">
        <w:rPr>
          <w:rFonts w:cstheme="minorHAnsi"/>
          <w:vertAlign w:val="superscript"/>
        </w:rPr>
        <w:t>*</w:t>
      </w:r>
      <w:r w:rsidRPr="00D67AE7">
        <w:rPr>
          <w:rFonts w:cstheme="minorHAnsi"/>
          <w:vertAlign w:val="subscript"/>
        </w:rPr>
        <w:t>H</w:t>
      </w:r>
      <w:r w:rsidRPr="00D67AE7">
        <w:rPr>
          <w:rFonts w:cstheme="minorHAnsi"/>
        </w:rPr>
        <w:t xml:space="preserve"> were identified as the rate of natural human recovery (</w:t>
      </w:r>
      <w:proofErr w:type="spellStart"/>
      <w:r w:rsidRPr="00D67AE7">
        <w:rPr>
          <w:rFonts w:cstheme="minorHAnsi"/>
        </w:rPr>
        <w:t>r</w:t>
      </w:r>
      <w:r w:rsidRPr="00D67AE7">
        <w:rPr>
          <w:rFonts w:cstheme="minorHAnsi"/>
          <w:vertAlign w:val="subscript"/>
        </w:rPr>
        <w:t>H</w:t>
      </w:r>
      <w:proofErr w:type="spellEnd"/>
      <w:r w:rsidRPr="00D67AE7">
        <w:rPr>
          <w:rFonts w:cstheme="minorHAnsi"/>
        </w:rPr>
        <w:t>) and the rate of animal-to-human transmission (β</w:t>
      </w:r>
      <w:r w:rsidRPr="00D67AE7">
        <w:rPr>
          <w:rFonts w:cstheme="minorHAnsi"/>
          <w:vertAlign w:val="subscript"/>
        </w:rPr>
        <w:t>HA</w:t>
      </w:r>
      <w:r w:rsidRPr="00D67AE7">
        <w:rPr>
          <w:rFonts w:cstheme="minorHAnsi"/>
        </w:rPr>
        <w:t>) (</w:t>
      </w:r>
      <w:r w:rsidRPr="002F522E">
        <w:rPr>
          <w:rFonts w:cstheme="minorHAnsi"/>
        </w:rPr>
        <w:t>Figure S</w:t>
      </w:r>
      <w:r w:rsidR="002F522E" w:rsidRPr="002F522E">
        <w:rPr>
          <w:rFonts w:cstheme="minorHAnsi"/>
        </w:rPr>
        <w:t>4A</w:t>
      </w:r>
      <w:r w:rsidRPr="00D67AE7">
        <w:rPr>
          <w:rFonts w:cstheme="minorHAnsi"/>
        </w:rPr>
        <w:t xml:space="preserve">).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sidRPr="00D67AE7">
        <w:rPr>
          <w:rFonts w:cstheme="minorHAnsi"/>
        </w:rPr>
        <w:t>was found to be most sensitive to transmission-related fitness costs (α), livestock antibiotic usage (τ), antibiotic-resistant to antibiotic-sensitive reversion rate (φ) and the efficacy of antibiotic-mediated recovery in livestock (</w:t>
      </w:r>
      <w:r w:rsidR="00F8032F">
        <w:rPr>
          <w:rFonts w:cstheme="minorHAnsi"/>
        </w:rPr>
        <w:t>κ</w:t>
      </w:r>
      <w:r w:rsidRPr="00D67AE7">
        <w:rPr>
          <w:rFonts w:cstheme="minorHAnsi"/>
        </w:rPr>
        <w:t>) (</w:t>
      </w:r>
      <w:r w:rsidRPr="002F522E">
        <w:rPr>
          <w:rFonts w:cstheme="minorHAnsi"/>
        </w:rPr>
        <w:t>Figure S</w:t>
      </w:r>
      <w:r w:rsidR="002F522E" w:rsidRPr="002F522E">
        <w:rPr>
          <w:rFonts w:cstheme="minorHAnsi"/>
        </w:rPr>
        <w:t>4</w:t>
      </w:r>
      <w:r w:rsidRPr="002F522E">
        <w:rPr>
          <w:rFonts w:cstheme="minorHAnsi"/>
        </w:rPr>
        <w:t>B</w:t>
      </w:r>
      <w:r w:rsidRPr="00D67AE7">
        <w:rPr>
          <w:rFonts w:cstheme="minorHAnsi"/>
        </w:rPr>
        <w:t xml:space="preserve">). </w:t>
      </w:r>
    </w:p>
    <w:p w14:paraId="6FC75A79" w14:textId="77777777" w:rsidR="008D5DB0" w:rsidRDefault="008D5DB0" w:rsidP="008D5DB0">
      <w:pPr>
        <w:pStyle w:val="NoSpacing"/>
        <w:spacing w:line="360" w:lineRule="auto"/>
        <w:jc w:val="both"/>
        <w:rPr>
          <w:rFonts w:cstheme="minorHAnsi"/>
          <w:bCs/>
          <w:iCs/>
        </w:rPr>
      </w:pPr>
    </w:p>
    <w:p w14:paraId="4DE6B5F6" w14:textId="53667625" w:rsidR="008D5DB0" w:rsidRPr="00D67AE7" w:rsidRDefault="008D5DB0" w:rsidP="008D5DB0">
      <w:pPr>
        <w:pStyle w:val="NoSpacing"/>
        <w:spacing w:line="360" w:lineRule="auto"/>
        <w:jc w:val="both"/>
        <w:rPr>
          <w:rFonts w:cstheme="minorHAnsi"/>
        </w:rPr>
      </w:pPr>
      <w:r w:rsidRPr="00D67AE7">
        <w:rPr>
          <w:rFonts w:cstheme="minorHAnsi"/>
        </w:rPr>
        <w:lastRenderedPageBreak/>
        <w:t>Using the fitted parameter values, the overall level of human salmonellosis (I</w:t>
      </w:r>
      <w:r w:rsidR="0018541F" w:rsidRPr="00D67AE7">
        <w:rPr>
          <w:rFonts w:cstheme="minorHAnsi"/>
          <w:vertAlign w:val="superscript"/>
        </w:rPr>
        <w:t>*</w:t>
      </w:r>
      <w:r w:rsidRPr="00D67AE7">
        <w:rPr>
          <w:rFonts w:cstheme="minorHAnsi"/>
          <w:vertAlign w:val="subscript"/>
        </w:rPr>
        <w:t>H</w:t>
      </w:r>
      <w:r w:rsidRPr="00D67AE7">
        <w:rPr>
          <w:rFonts w:cstheme="minorHAnsi"/>
        </w:rPr>
        <w:t>) and the proportion of antibiotic-resistant human salmonellosis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Pr="00D67AE7">
        <w:rPr>
          <w:rFonts w:cstheme="minorHAnsi"/>
        </w:rPr>
        <w:t xml:space="preserve">) was modelled at: </w:t>
      </w:r>
      <w:r w:rsidRPr="00F8032F">
        <w:rPr>
          <w:rFonts w:cstheme="minorHAnsi"/>
          <w:highlight w:val="yellow"/>
        </w:rPr>
        <w:t>3.37</w:t>
      </w:r>
      <w:r w:rsidRPr="00D67AE7">
        <w:rPr>
          <w:rFonts w:cstheme="minorHAnsi"/>
        </w:rPr>
        <w:t xml:space="preserve"> per 100,000 population and </w:t>
      </w:r>
      <w:r w:rsidRPr="00F8032F">
        <w:rPr>
          <w:rFonts w:cstheme="minorHAnsi"/>
          <w:highlight w:val="yellow"/>
        </w:rPr>
        <w:t>0.35</w:t>
      </w:r>
      <w:r w:rsidRPr="00D67AE7">
        <w:rPr>
          <w:rFonts w:cstheme="minorHAnsi"/>
        </w:rPr>
        <w:t xml:space="preserve"> for the tetracycline-resistant human salmonellosis from fattening pigs case study at baseline tetracycline usage (τ = 0.0123 g/PCU). </w:t>
      </w:r>
      <w:r w:rsidRPr="00F8032F">
        <w:rPr>
          <w:rFonts w:cstheme="minorHAnsi"/>
          <w:highlight w:val="yellow"/>
        </w:rPr>
        <w:t>3.37</w:t>
      </w:r>
      <w:r w:rsidRPr="00D67AE7">
        <w:rPr>
          <w:rFonts w:cstheme="minorHAnsi"/>
        </w:rPr>
        <w:t xml:space="preserve"> per 100,000 population and </w:t>
      </w:r>
      <w:r w:rsidRPr="00F8032F">
        <w:rPr>
          <w:rFonts w:cstheme="minorHAnsi"/>
          <w:highlight w:val="yellow"/>
        </w:rPr>
        <w:t>0.31</w:t>
      </w:r>
      <w:r w:rsidRPr="00D67AE7">
        <w:rPr>
          <w:rFonts w:cstheme="minorHAnsi"/>
        </w:rPr>
        <w:t xml:space="preserve"> for the ampicillin-resistant human salmonellosis from fattening pigs case study at baseline ampicillin usage (τ = 0.0116 g/PCU) and </w:t>
      </w:r>
      <w:r w:rsidRPr="00F8032F">
        <w:rPr>
          <w:rFonts w:cstheme="minorHAnsi"/>
          <w:highlight w:val="yellow"/>
        </w:rPr>
        <w:t>3.36</w:t>
      </w:r>
      <w:r w:rsidRPr="00D67AE7">
        <w:rPr>
          <w:rFonts w:cstheme="minorHAnsi"/>
        </w:rPr>
        <w:t xml:space="preserve"> per 100,000 population and </w:t>
      </w:r>
      <w:r w:rsidRPr="00F8032F">
        <w:rPr>
          <w:rFonts w:cstheme="minorHAnsi"/>
          <w:highlight w:val="yellow"/>
        </w:rPr>
        <w:t>0.30</w:t>
      </w:r>
      <w:r w:rsidRPr="00D67AE7">
        <w:rPr>
          <w:rFonts w:cstheme="minorHAnsi"/>
        </w:rPr>
        <w:t xml:space="preserve"> for the tetracycline-resistant human salmonellosis from broiler poultry case study at baseline tetracycline usage (τ = 0.0067 g/PCU) (</w:t>
      </w:r>
      <w:r w:rsidRPr="002F522E">
        <w:rPr>
          <w:rFonts w:cstheme="minorHAnsi"/>
        </w:rPr>
        <w:t>Figure 3</w:t>
      </w:r>
      <w:r w:rsidRPr="00D67AE7">
        <w:rPr>
          <w:rFonts w:cstheme="minorHAnsi"/>
        </w:rPr>
        <w:t xml:space="preserve">). </w:t>
      </w:r>
    </w:p>
    <w:p w14:paraId="6971B420" w14:textId="11D20ADC" w:rsidR="008D5DB0" w:rsidRDefault="008D5DB0" w:rsidP="00F06C62">
      <w:pPr>
        <w:pStyle w:val="NoSpacing"/>
        <w:spacing w:line="360" w:lineRule="auto"/>
        <w:rPr>
          <w:rFonts w:cstheme="minorHAnsi"/>
        </w:rPr>
      </w:pPr>
    </w:p>
    <w:p w14:paraId="7ED2032D" w14:textId="54A37B00" w:rsidR="0018541F" w:rsidRPr="00927353" w:rsidRDefault="000274E1" w:rsidP="008D5DB0">
      <w:pPr>
        <w:pStyle w:val="NoSpacing"/>
        <w:spacing w:line="360" w:lineRule="auto"/>
        <w:jc w:val="center"/>
        <w:rPr>
          <w:rFonts w:cstheme="minorHAnsi"/>
        </w:rPr>
      </w:pPr>
      <w:r>
        <w:rPr>
          <w:noProof/>
          <w:lang w:eastAsia="en-GB"/>
        </w:rPr>
        <w:drawing>
          <wp:inline distT="0" distB="0" distL="0" distR="0" wp14:anchorId="69D99D0A" wp14:editId="7A591A60">
            <wp:extent cx="3829319" cy="526542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0230" cy="5280423"/>
                    </a:xfrm>
                    <a:prstGeom prst="rect">
                      <a:avLst/>
                    </a:prstGeom>
                    <a:noFill/>
                    <a:ln>
                      <a:noFill/>
                    </a:ln>
                  </pic:spPr>
                </pic:pic>
              </a:graphicData>
            </a:graphic>
          </wp:inline>
        </w:drawing>
      </w:r>
    </w:p>
    <w:p w14:paraId="4A1826B0" w14:textId="42950D94" w:rsidR="008D5DB0" w:rsidRDefault="008D5DB0" w:rsidP="008D5DB0">
      <w:pPr>
        <w:pStyle w:val="NoSpacing"/>
        <w:spacing w:line="360" w:lineRule="auto"/>
        <w:jc w:val="both"/>
        <w:rPr>
          <w:rFonts w:cstheme="minorHAnsi"/>
          <w:bCs/>
        </w:rPr>
      </w:pPr>
      <w:r>
        <w:rPr>
          <w:rFonts w:cstheme="minorHAnsi"/>
          <w:b/>
        </w:rPr>
        <w:t>Figure 3</w:t>
      </w:r>
      <w:r w:rsidRPr="00927353">
        <w:rPr>
          <w:rFonts w:cstheme="minorHAnsi"/>
          <w:b/>
        </w:rPr>
        <w:t xml:space="preserve"> –</w:t>
      </w:r>
      <w:r w:rsidR="000331DE">
        <w:rPr>
          <w:rFonts w:cstheme="minorHAnsi"/>
          <w:b/>
        </w:rPr>
        <w:t xml:space="preserve"> </w:t>
      </w:r>
      <w:r w:rsidR="000331DE" w:rsidRPr="003D551E">
        <w:rPr>
          <w:rFonts w:cstheme="minorHAnsi"/>
          <w:b/>
          <w:highlight w:val="yellow"/>
        </w:rPr>
        <w:t>FOUR PLOTS NOW</w:t>
      </w:r>
      <w:r w:rsidRPr="00927353">
        <w:rPr>
          <w:rFonts w:cstheme="minorHAnsi"/>
          <w:b/>
        </w:rPr>
        <w:t xml:space="preserve"> Impact of alterations in livestock antibiotic </w:t>
      </w:r>
      <w:r w:rsidR="00515740">
        <w:rPr>
          <w:rFonts w:cstheme="minorHAnsi"/>
          <w:b/>
        </w:rPr>
        <w:t>usage</w:t>
      </w:r>
      <w:r w:rsidR="00515740" w:rsidRPr="00927353">
        <w:rPr>
          <w:rFonts w:cstheme="minorHAnsi"/>
          <w:b/>
        </w:rPr>
        <w:t xml:space="preserve"> </w:t>
      </w:r>
      <w:r w:rsidRPr="00927353">
        <w:rPr>
          <w:rFonts w:cstheme="minorHAnsi"/>
          <w:b/>
        </w:rPr>
        <w:t>(τ) on overall levels of human foodborne disease (I</w:t>
      </w:r>
      <w:r w:rsidR="0018541F" w:rsidRPr="00F06C62">
        <w:rPr>
          <w:rFonts w:cstheme="minorHAnsi"/>
          <w:b/>
          <w:vertAlign w:val="superscript"/>
        </w:rPr>
        <w:t>*</w:t>
      </w:r>
      <w:r w:rsidRPr="00927353">
        <w:rPr>
          <w:rFonts w:cstheme="minorHAnsi"/>
          <w:b/>
          <w:vertAlign w:val="subscript"/>
        </w:rPr>
        <w:t>H</w:t>
      </w:r>
      <w:r w:rsidRPr="00927353">
        <w:rPr>
          <w:rFonts w:cstheme="minorHAnsi"/>
          <w:b/>
        </w:rPr>
        <w:t>) and the proportion of resistant human infection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Pr="00927353">
        <w:rPr>
          <w:rFonts w:cstheme="minorHAnsi"/>
          <w:b/>
        </w:rPr>
        <w:t xml:space="preserve">). </w:t>
      </w:r>
      <w:r w:rsidRPr="001C4F47">
        <w:rPr>
          <w:rFonts w:cstheme="minorHAnsi"/>
          <w:bCs/>
        </w:rPr>
        <w:t xml:space="preserve">A) Tetracycline-resistant human salmonellosis from fattening pigs. B) Ampicillin-resistant human salmonellosis from </w:t>
      </w:r>
      <w:r>
        <w:rPr>
          <w:rFonts w:cstheme="minorHAnsi"/>
          <w:bCs/>
        </w:rPr>
        <w:t>fattening pigs. C) Tetracycline-resistant human salmonellosis from broiler poultry.</w:t>
      </w:r>
      <w:r w:rsidRPr="001C4F47">
        <w:rPr>
          <w:rFonts w:cstheme="minorHAnsi"/>
          <w:bCs/>
        </w:rPr>
        <w:t xml:space="preserve"> Grey bar denotes the </w:t>
      </w:r>
      <w:r>
        <w:rPr>
          <w:rFonts w:cstheme="minorHAnsi"/>
          <w:bCs/>
        </w:rPr>
        <w:t xml:space="preserve">case study </w:t>
      </w:r>
      <w:r w:rsidRPr="001C4F47">
        <w:rPr>
          <w:rFonts w:cstheme="minorHAnsi"/>
          <w:bCs/>
        </w:rPr>
        <w:t xml:space="preserve">specific baseline livestock antibiotic </w:t>
      </w:r>
      <w:r w:rsidR="00515740">
        <w:rPr>
          <w:rFonts w:cstheme="minorHAnsi"/>
          <w:bCs/>
        </w:rPr>
        <w:t>usage</w:t>
      </w:r>
      <w:r w:rsidRPr="001C4F47">
        <w:rPr>
          <w:rFonts w:cstheme="minorHAnsi"/>
          <w:bCs/>
        </w:rPr>
        <w:t xml:space="preserve">.  Numbers above the bars denote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Pr="001C4F47">
        <w:rPr>
          <w:rFonts w:cstheme="minorHAnsi"/>
          <w:bCs/>
        </w:rPr>
        <w:t>.</w:t>
      </w:r>
      <w:r>
        <w:rPr>
          <w:rFonts w:cstheme="minorHAnsi"/>
          <w:bCs/>
        </w:rPr>
        <w:t xml:space="preserve"> </w:t>
      </w:r>
    </w:p>
    <w:p w14:paraId="23BF27AB" w14:textId="015375FC" w:rsidR="008D5DB0" w:rsidRPr="00D67AE7" w:rsidRDefault="008D5DB0" w:rsidP="008D5DB0">
      <w:pPr>
        <w:pStyle w:val="NoSpacing"/>
        <w:spacing w:line="360" w:lineRule="auto"/>
        <w:jc w:val="both"/>
        <w:rPr>
          <w:rFonts w:cstheme="minorHAnsi"/>
        </w:rPr>
      </w:pPr>
      <w:r w:rsidRPr="00D67AE7">
        <w:rPr>
          <w:rFonts w:cstheme="minorHAnsi"/>
        </w:rPr>
        <w:lastRenderedPageBreak/>
        <w:t xml:space="preserve">Curtailment of livestock antibiotic usage (τ </w:t>
      </w:r>
      <w:r w:rsidRPr="00D67AE7">
        <w:rPr>
          <w:rFonts w:ascii="Arial" w:hAnsi="Arial" w:cs="Arial"/>
          <w:shd w:val="clear" w:color="auto" w:fill="FFFFFF"/>
        </w:rPr>
        <w:t>→</w:t>
      </w:r>
      <w:r w:rsidRPr="00D67AE7">
        <w:rPr>
          <w:rFonts w:cstheme="minorHAnsi"/>
        </w:rPr>
        <w:t xml:space="preserve"> 0 g/PCU) resulted in small increases in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relative to at baseline antibiotic </w:t>
      </w:r>
      <w:r w:rsidR="00515740" w:rsidRPr="00D67AE7">
        <w:rPr>
          <w:rFonts w:cstheme="minorHAnsi"/>
        </w:rPr>
        <w:t xml:space="preserve">usage </w:t>
      </w:r>
      <w:r w:rsidRPr="00D67AE7">
        <w:rPr>
          <w:rFonts w:cstheme="minorHAnsi"/>
        </w:rPr>
        <w:t>levels across all case studies (</w:t>
      </w:r>
      <w:r w:rsidRPr="002F522E">
        <w:rPr>
          <w:rFonts w:cstheme="minorHAnsi"/>
        </w:rPr>
        <w:t>Figure 3</w:t>
      </w:r>
      <w:r w:rsidRPr="00D67AE7">
        <w:rPr>
          <w:rFonts w:cstheme="minorHAnsi"/>
        </w:rPr>
        <w:t>). Curtailment in the tetracycline-resistance in fattening pigs case study resulted in the largest increase in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with a </w:t>
      </w:r>
      <w:r w:rsidRPr="00F8032F">
        <w:rPr>
          <w:rFonts w:cstheme="minorHAnsi"/>
          <w:highlight w:val="yellow"/>
        </w:rPr>
        <w:t>1.24</w:t>
      </w:r>
      <w:r w:rsidRPr="00D67AE7">
        <w:rPr>
          <w:rFonts w:cstheme="minorHAnsi"/>
        </w:rPr>
        <w:t>-fold (</w:t>
      </w:r>
      <w:r w:rsidRPr="00F8032F">
        <w:rPr>
          <w:rFonts w:cstheme="minorHAnsi"/>
          <w:highlight w:val="yellow"/>
        </w:rPr>
        <w:t>4.19</w:t>
      </w:r>
      <w:r w:rsidRPr="00D67AE7">
        <w:rPr>
          <w:rFonts w:cstheme="minorHAnsi"/>
        </w:rPr>
        <w:t xml:space="preserve"> per 100,000) increase relative to baseline levels, and a </w:t>
      </w:r>
      <w:r w:rsidRPr="00F8032F">
        <w:rPr>
          <w:rFonts w:cstheme="minorHAnsi"/>
          <w:highlight w:val="yellow"/>
        </w:rPr>
        <w:t>1.23-fold</w:t>
      </w:r>
      <w:r w:rsidRPr="00D67AE7">
        <w:rPr>
          <w:rFonts w:cstheme="minorHAnsi"/>
        </w:rPr>
        <w:t xml:space="preserve"> (</w:t>
      </w:r>
      <w:r w:rsidRPr="00F8032F">
        <w:rPr>
          <w:rFonts w:cstheme="minorHAnsi"/>
          <w:highlight w:val="yellow"/>
        </w:rPr>
        <w:t>4.14</w:t>
      </w:r>
      <w:r w:rsidRPr="00D67AE7">
        <w:rPr>
          <w:rFonts w:cstheme="minorHAnsi"/>
        </w:rPr>
        <w:t xml:space="preserve"> per 100,000) and </w:t>
      </w:r>
      <w:r w:rsidRPr="00F8032F">
        <w:rPr>
          <w:rFonts w:cstheme="minorHAnsi"/>
          <w:highlight w:val="yellow"/>
        </w:rPr>
        <w:t>1.11</w:t>
      </w:r>
      <w:r w:rsidRPr="00D67AE7">
        <w:rPr>
          <w:rFonts w:cstheme="minorHAnsi"/>
        </w:rPr>
        <w:t>-fold (</w:t>
      </w:r>
      <w:r w:rsidRPr="00F8032F">
        <w:rPr>
          <w:rFonts w:cstheme="minorHAnsi"/>
          <w:highlight w:val="yellow"/>
        </w:rPr>
        <w:t>3.71</w:t>
      </w:r>
      <w:r w:rsidRPr="00D67AE7">
        <w:rPr>
          <w:rFonts w:cstheme="minorHAnsi"/>
        </w:rPr>
        <w:t xml:space="preserve"> per 100,000) increase in the ampicillin-</w:t>
      </w:r>
      <w:r w:rsidR="00515740" w:rsidRPr="00D67AE7">
        <w:rPr>
          <w:rFonts w:cstheme="minorHAnsi"/>
        </w:rPr>
        <w:t xml:space="preserve">usage </w:t>
      </w:r>
      <w:r w:rsidRPr="00D67AE7">
        <w:rPr>
          <w:rFonts w:cstheme="minorHAnsi"/>
        </w:rPr>
        <w:t>in fattening pigs and tetracycline</w:t>
      </w:r>
      <w:r w:rsidR="00F06C62" w:rsidRPr="00D67AE7">
        <w:rPr>
          <w:rFonts w:cstheme="minorHAnsi"/>
        </w:rPr>
        <w:t xml:space="preserve"> </w:t>
      </w:r>
      <w:r w:rsidR="00515740" w:rsidRPr="00D67AE7">
        <w:rPr>
          <w:rFonts w:cstheme="minorHAnsi"/>
        </w:rPr>
        <w:t xml:space="preserve">usage </w:t>
      </w:r>
      <w:r w:rsidRPr="00D67AE7">
        <w:rPr>
          <w:rFonts w:cstheme="minorHAnsi"/>
        </w:rPr>
        <w:t>in broiler poultry case stud</w:t>
      </w:r>
      <w:r w:rsidR="00F8032F">
        <w:rPr>
          <w:rFonts w:cstheme="minorHAnsi"/>
        </w:rPr>
        <w:t>ies</w:t>
      </w:r>
      <w:r w:rsidRPr="00D67AE7">
        <w:rPr>
          <w:rFonts w:cstheme="minorHAnsi"/>
        </w:rPr>
        <w:t xml:space="preserve"> respectively. Increases in livestock antibiotic usage above baseline usage levels</w:t>
      </w:r>
      <w:r w:rsidR="00F8032F">
        <w:rPr>
          <w:rFonts w:cstheme="minorHAnsi"/>
        </w:rPr>
        <w:t xml:space="preserve"> in the three case-studies</w:t>
      </w:r>
      <w:r w:rsidRPr="00D67AE7">
        <w:rPr>
          <w:rFonts w:cstheme="minorHAnsi"/>
        </w:rPr>
        <w:t xml:space="preserve"> (τ &gt; 0.0123/0.0116/0.0067 g/PCU)</w:t>
      </w:r>
      <w:r w:rsidR="00F8032F">
        <w:rPr>
          <w:rFonts w:cstheme="minorHAnsi"/>
        </w:rPr>
        <w:t>,</w:t>
      </w:r>
      <w:r w:rsidRPr="00D67AE7">
        <w:rPr>
          <w:rFonts w:cstheme="minorHAnsi"/>
        </w:rPr>
        <w:t xml:space="preserve"> resulted in the opposite phenomenon being observed, with small decreases in overall human foodborne disease and increases in the proportion of resistant infection.</w:t>
      </w:r>
    </w:p>
    <w:p w14:paraId="77619200" w14:textId="77777777" w:rsidR="008D5DB0" w:rsidRPr="00D67AE7" w:rsidRDefault="008D5DB0" w:rsidP="008D5DB0">
      <w:pPr>
        <w:pStyle w:val="NoSpacing"/>
        <w:spacing w:line="360" w:lineRule="auto"/>
        <w:jc w:val="both"/>
        <w:rPr>
          <w:rFonts w:cstheme="minorHAnsi"/>
        </w:rPr>
      </w:pPr>
    </w:p>
    <w:p w14:paraId="170AA493" w14:textId="6B36C0FA" w:rsidR="00DC2A69" w:rsidRDefault="008D5DB0" w:rsidP="008D5DB0">
      <w:pPr>
        <w:pStyle w:val="NoSpacing"/>
        <w:spacing w:line="360" w:lineRule="auto"/>
        <w:jc w:val="both"/>
        <w:rPr>
          <w:rFonts w:cstheme="minorHAnsi"/>
          <w:bCs/>
        </w:rPr>
      </w:pPr>
      <w:r w:rsidRPr="00D67AE7">
        <w:rPr>
          <w:rFonts w:cstheme="minorHAnsi"/>
        </w:rPr>
        <w:t>We next identified the parameters which had the greatest influence on relative increases in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when livestock antibiotics were curtailed, compared to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at mean baseline livestock antibiotic usage across the three case studies (τ = 0.0102 g/PCU) </w:t>
      </w:r>
      <w:r w:rsidRPr="002F522E">
        <w:rPr>
          <w:rFonts w:cstheme="minorHAnsi"/>
          <w:bCs/>
        </w:rPr>
        <w:t>(Figure 4A).</w:t>
      </w:r>
      <w:r w:rsidR="00505779">
        <w:rPr>
          <w:rFonts w:cstheme="minorHAnsi"/>
          <w:bCs/>
        </w:rPr>
        <w:t xml:space="preserve"> </w:t>
      </w:r>
      <w:r w:rsidR="00DC2A69">
        <w:rPr>
          <w:rFonts w:cstheme="minorHAnsi"/>
          <w:bCs/>
        </w:rPr>
        <w:t>Therefore, parameters that are identified as influential, are those that result in scenarios where curtailing livestock antibiotic usage has a greater relative increase in I</w:t>
      </w:r>
      <w:r w:rsidR="00DC2A69" w:rsidRPr="00DC2A69">
        <w:rPr>
          <w:rFonts w:cstheme="minorHAnsi"/>
          <w:bCs/>
          <w:vertAlign w:val="superscript"/>
        </w:rPr>
        <w:t>*</w:t>
      </w:r>
      <w:r w:rsidR="00DC2A69" w:rsidRPr="00DC2A69">
        <w:rPr>
          <w:rFonts w:cstheme="minorHAnsi"/>
          <w:bCs/>
          <w:vertAlign w:val="subscript"/>
        </w:rPr>
        <w:t>H</w:t>
      </w:r>
      <w:r w:rsidR="00DC2A69">
        <w:rPr>
          <w:rFonts w:cstheme="minorHAnsi"/>
          <w:bCs/>
        </w:rPr>
        <w:t xml:space="preserve">. </w:t>
      </w:r>
      <w:r w:rsidR="00857445">
        <w:rPr>
          <w:rFonts w:cstheme="minorHAnsi"/>
          <w:bCs/>
        </w:rPr>
        <w:t>I</w:t>
      </w:r>
      <w:r w:rsidR="00857445" w:rsidRPr="00DC2A69">
        <w:rPr>
          <w:rFonts w:cstheme="minorHAnsi"/>
          <w:bCs/>
          <w:vertAlign w:val="superscript"/>
        </w:rPr>
        <w:t>*</w:t>
      </w:r>
      <w:r w:rsidR="00857445" w:rsidRPr="00DC2A69">
        <w:rPr>
          <w:rFonts w:cstheme="minorHAnsi"/>
          <w:bCs/>
          <w:vertAlign w:val="subscript"/>
        </w:rPr>
        <w:t>H</w:t>
      </w:r>
      <w:r w:rsidR="00857445">
        <w:rPr>
          <w:rFonts w:cstheme="minorHAnsi"/>
          <w:bCs/>
        </w:rPr>
        <w:t xml:space="preserve"> at mean baseline livestock antibiotic usage was allowed to vary and was not fixed across modelled parameter combination.</w:t>
      </w:r>
    </w:p>
    <w:p w14:paraId="2E962B56" w14:textId="5209471A" w:rsidR="000331DE" w:rsidRDefault="000331DE" w:rsidP="008D5DB0">
      <w:pPr>
        <w:pStyle w:val="NoSpacing"/>
        <w:spacing w:line="360" w:lineRule="auto"/>
        <w:jc w:val="both"/>
        <w:rPr>
          <w:rFonts w:cstheme="minorHAnsi"/>
          <w:bCs/>
        </w:rPr>
      </w:pPr>
    </w:p>
    <w:p w14:paraId="48F98783" w14:textId="7A8E99E0" w:rsidR="000331DE" w:rsidRDefault="000331DE" w:rsidP="008D5DB0">
      <w:pPr>
        <w:pStyle w:val="NoSpacing"/>
        <w:spacing w:line="360" w:lineRule="auto"/>
        <w:jc w:val="both"/>
        <w:rPr>
          <w:rFonts w:cstheme="minorHAnsi"/>
          <w:bCs/>
        </w:rPr>
      </w:pPr>
      <w:r w:rsidRPr="000331DE">
        <w:rPr>
          <w:rFonts w:cstheme="minorHAnsi"/>
          <w:bCs/>
          <w:highlight w:val="yellow"/>
        </w:rPr>
        <w:t>NEED TO REPEAT THESE SENSITIVITY ANALYSIS TO SEE IF THE PARAMETER RANGE AND BASELINE LIVESTOCK ANTIBIOTIC USAGE LEVELS AFFECT THE RESULTS AT ALL.</w:t>
      </w:r>
      <w:r>
        <w:rPr>
          <w:rFonts w:cstheme="minorHAnsi"/>
          <w:bCs/>
        </w:rPr>
        <w:t xml:space="preserve"> – ACROSS EACH CASESTUDY </w:t>
      </w:r>
    </w:p>
    <w:p w14:paraId="6DC8548B" w14:textId="77777777" w:rsidR="00DC2A69" w:rsidRDefault="00DC2A69" w:rsidP="008D5DB0">
      <w:pPr>
        <w:pStyle w:val="NoSpacing"/>
        <w:spacing w:line="360" w:lineRule="auto"/>
        <w:jc w:val="both"/>
        <w:rPr>
          <w:rFonts w:cstheme="minorHAnsi"/>
          <w:bCs/>
        </w:rPr>
      </w:pPr>
    </w:p>
    <w:p w14:paraId="752B03C1" w14:textId="0E58552D" w:rsidR="008D5DB0" w:rsidRPr="00DC2A69" w:rsidRDefault="008D5DB0" w:rsidP="008D5DB0">
      <w:pPr>
        <w:pStyle w:val="NoSpacing"/>
        <w:spacing w:line="360" w:lineRule="auto"/>
        <w:jc w:val="both"/>
        <w:rPr>
          <w:rFonts w:cstheme="minorHAnsi"/>
          <w:bCs/>
        </w:rPr>
      </w:pPr>
      <w:r w:rsidRPr="00D67AE7">
        <w:rPr>
          <w:rFonts w:cstheme="minorHAnsi"/>
        </w:rPr>
        <w:t>The per capita rate of background transmission to livestock populations (ζ), animal-to-animal transmission (β</w:t>
      </w:r>
      <w:r w:rsidRPr="00D67AE7">
        <w:rPr>
          <w:rFonts w:cstheme="minorHAnsi"/>
          <w:vertAlign w:val="subscript"/>
        </w:rPr>
        <w:t>AA</w:t>
      </w:r>
      <w:r w:rsidRPr="00D67AE7">
        <w:rPr>
          <w:rFonts w:cstheme="minorHAnsi"/>
        </w:rPr>
        <w:t>), transmission-related fitness costs of antibiotic resistance (α), antibiotic-resistant to antibiotic-sensitive reversion rate (φ), efficacy of antibiotic-mediated livestock recovery (</w:t>
      </w:r>
      <w:r w:rsidR="00F8032F">
        <w:rPr>
          <w:rFonts w:cstheme="minorHAnsi"/>
        </w:rPr>
        <w:t>κ</w:t>
      </w:r>
      <w:r w:rsidRPr="00D67AE7">
        <w:rPr>
          <w:rFonts w:cstheme="minorHAnsi"/>
        </w:rPr>
        <w:t>) and natural recovery rate in livestock (</w:t>
      </w:r>
      <w:proofErr w:type="spellStart"/>
      <w:r w:rsidRPr="00D67AE7">
        <w:rPr>
          <w:rFonts w:cstheme="minorHAnsi"/>
        </w:rPr>
        <w:t>r</w:t>
      </w:r>
      <w:r w:rsidRPr="00D67AE7">
        <w:rPr>
          <w:rFonts w:cstheme="minorHAnsi"/>
          <w:vertAlign w:val="subscript"/>
        </w:rPr>
        <w:t>A</w:t>
      </w:r>
      <w:proofErr w:type="spellEnd"/>
      <w:r w:rsidRPr="00D67AE7">
        <w:rPr>
          <w:rFonts w:cstheme="minorHAnsi"/>
        </w:rPr>
        <w:t>) were found to be the most influential parameters in determining the relative increase in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from baseline livestock antibiotic usage when antibiotics where curtailed. </w:t>
      </w:r>
      <w:r w:rsidRPr="002F522E">
        <w:rPr>
          <w:rFonts w:cstheme="minorHAnsi"/>
        </w:rPr>
        <w:t>(Figure 4A).</w:t>
      </w:r>
      <w:r w:rsidRPr="00D67AE7">
        <w:rPr>
          <w:rFonts w:cstheme="minorHAnsi"/>
        </w:rPr>
        <w:t xml:space="preserve"> To explore this sensitivity analysis in more detail, each parameter was altered to explore the individual impact on the relative change in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under livestock antibiotic curtailment compared to I</w:t>
      </w:r>
      <w:r w:rsidR="00E7197B" w:rsidRPr="00D67AE7">
        <w:rPr>
          <w:rFonts w:cstheme="minorHAnsi"/>
          <w:vertAlign w:val="superscript"/>
        </w:rPr>
        <w:t>*</w:t>
      </w:r>
      <w:r w:rsidRPr="00D67AE7">
        <w:rPr>
          <w:rFonts w:cstheme="minorHAnsi"/>
          <w:vertAlign w:val="subscript"/>
        </w:rPr>
        <w:t>H</w:t>
      </w:r>
      <w:r w:rsidRPr="00D67AE7">
        <w:rPr>
          <w:rFonts w:cstheme="minorHAnsi"/>
        </w:rPr>
        <w:t xml:space="preserve"> at baseline livestock antibiotic usage (τ = 0.0102 g/PCU). Lower α and </w:t>
      </w:r>
      <w:r w:rsidR="00505779">
        <w:rPr>
          <w:rFonts w:cstheme="minorHAnsi"/>
        </w:rPr>
        <w:t>κ</w:t>
      </w:r>
      <w:r w:rsidRPr="00D67AE7">
        <w:rPr>
          <w:rFonts w:cstheme="minorHAnsi"/>
        </w:rPr>
        <w:t xml:space="preserve"> parameter values, and higher ζ, </w:t>
      </w:r>
      <w:proofErr w:type="spellStart"/>
      <w:r w:rsidRPr="00D67AE7">
        <w:rPr>
          <w:rFonts w:cstheme="minorHAnsi"/>
        </w:rPr>
        <w:t>r</w:t>
      </w:r>
      <w:r w:rsidRPr="00D67AE7">
        <w:rPr>
          <w:rFonts w:cstheme="minorHAnsi"/>
          <w:vertAlign w:val="subscript"/>
        </w:rPr>
        <w:t>A</w:t>
      </w:r>
      <w:proofErr w:type="spellEnd"/>
      <w:r w:rsidRPr="00D67AE7">
        <w:rPr>
          <w:rFonts w:cstheme="minorHAnsi"/>
        </w:rPr>
        <w:t>, and φ parameter values resulted in lower relative increases in I</w:t>
      </w:r>
      <w:r w:rsidR="0018541F" w:rsidRPr="00D67AE7">
        <w:rPr>
          <w:rFonts w:cstheme="minorHAnsi"/>
          <w:vertAlign w:val="superscript"/>
        </w:rPr>
        <w:t>*</w:t>
      </w:r>
      <w:r w:rsidRPr="00D67AE7">
        <w:rPr>
          <w:rFonts w:cstheme="minorHAnsi"/>
          <w:vertAlign w:val="subscript"/>
        </w:rPr>
        <w:t>H</w:t>
      </w:r>
      <w:r w:rsidRPr="00D67AE7">
        <w:rPr>
          <w:rFonts w:cstheme="minorHAnsi"/>
        </w:rPr>
        <w:t xml:space="preserve"> when livestock antibiotics were curtailed (τ = 0 g/PCU) (</w:t>
      </w:r>
      <w:r w:rsidRPr="002F522E">
        <w:rPr>
          <w:rFonts w:cstheme="minorHAnsi"/>
          <w:bCs/>
        </w:rPr>
        <w:t>Figure S</w:t>
      </w:r>
      <w:r w:rsidR="002F522E" w:rsidRPr="002F522E">
        <w:rPr>
          <w:rFonts w:cstheme="minorHAnsi"/>
          <w:bCs/>
        </w:rPr>
        <w:t>5</w:t>
      </w:r>
      <w:r w:rsidRPr="002F522E">
        <w:rPr>
          <w:rFonts w:cstheme="minorHAnsi"/>
          <w:bCs/>
        </w:rPr>
        <w:t>)</w:t>
      </w:r>
      <w:r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487AFB62" w:rsidR="00F06C62" w:rsidRDefault="00D53369" w:rsidP="008D5DB0">
      <w:pPr>
        <w:pStyle w:val="NoSpacing"/>
        <w:spacing w:line="360" w:lineRule="auto"/>
        <w:jc w:val="both"/>
        <w:rPr>
          <w:rFonts w:cstheme="minorHAnsi"/>
        </w:rPr>
      </w:pPr>
      <w:r w:rsidRPr="00022E93">
        <w:rPr>
          <w:noProof/>
          <w:highlight w:val="yellow"/>
          <w:lang w:eastAsia="en-GB"/>
        </w:rPr>
        <w:lastRenderedPageBreak/>
        <w:drawing>
          <wp:inline distT="0" distB="0" distL="0" distR="0" wp14:anchorId="3C017BF3" wp14:editId="0A05C0B3">
            <wp:extent cx="5731510" cy="6550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550025"/>
                    </a:xfrm>
                    <a:prstGeom prst="rect">
                      <a:avLst/>
                    </a:prstGeom>
                    <a:noFill/>
                    <a:ln>
                      <a:noFill/>
                    </a:ln>
                  </pic:spPr>
                </pic:pic>
              </a:graphicData>
            </a:graphic>
          </wp:inline>
        </w:drawing>
      </w:r>
    </w:p>
    <w:p w14:paraId="6B7F66F0" w14:textId="2DFB2D49" w:rsidR="008D5DB0" w:rsidRPr="00D67AE7" w:rsidRDefault="008D5DB0" w:rsidP="008D5DB0">
      <w:pPr>
        <w:pStyle w:val="NoSpacing"/>
        <w:spacing w:line="360" w:lineRule="auto"/>
        <w:jc w:val="both"/>
        <w:rPr>
          <w:rFonts w:cstheme="minorHAnsi"/>
          <w:b/>
        </w:rPr>
      </w:pPr>
      <w:bookmarkStart w:id="3" w:name="_Hlk55379253"/>
      <w:r w:rsidRPr="00D67AE7">
        <w:rPr>
          <w:rFonts w:cstheme="minorHAnsi"/>
          <w:b/>
        </w:rPr>
        <w:t>Figure 4 – Fourier amplitude senstivity test (FAST) to identify the most influential model parameter for</w:t>
      </w:r>
      <w:r w:rsidR="00A07CA3" w:rsidRPr="00D67AE7">
        <w:rPr>
          <w:rFonts w:cstheme="minorHAnsi"/>
          <w:b/>
        </w:rPr>
        <w:t>. Higher bars indicate greater sensitivity</w:t>
      </w:r>
      <w:r w:rsidRPr="00D67AE7">
        <w:rPr>
          <w:rFonts w:cstheme="minorHAnsi"/>
          <w:b/>
        </w:rPr>
        <w:t>: A) The relative change in I</w:t>
      </w:r>
      <w:r w:rsidR="00E7197B" w:rsidRPr="00D67AE7">
        <w:rPr>
          <w:rFonts w:cstheme="minorHAnsi"/>
          <w:b/>
          <w:vertAlign w:val="superscript"/>
        </w:rPr>
        <w:t>*</w:t>
      </w:r>
      <w:r w:rsidRPr="00D67AE7">
        <w:rPr>
          <w:rFonts w:cstheme="minorHAnsi"/>
          <w:b/>
          <w:vertAlign w:val="subscript"/>
        </w:rPr>
        <w:t>H</w:t>
      </w:r>
      <w:r w:rsidRPr="00D67AE7">
        <w:rPr>
          <w:rFonts w:cstheme="minorHAnsi"/>
          <w:b/>
        </w:rPr>
        <w:t xml:space="preserve"> under curtailment (0 g/PCU) compared to the averaged baseline antibiotic usage level (0.0102 g/PCU). B) Mitigating changes in I</w:t>
      </w:r>
      <w:r w:rsidR="00E7197B" w:rsidRPr="00D67AE7">
        <w:rPr>
          <w:rFonts w:cstheme="minorHAnsi"/>
          <w:b/>
          <w:vertAlign w:val="superscript"/>
        </w:rPr>
        <w:t>*</w:t>
      </w:r>
      <w:r w:rsidRPr="00D67AE7">
        <w:rPr>
          <w:rFonts w:cstheme="minorHAnsi"/>
          <w:b/>
          <w:vertAlign w:val="subscript"/>
        </w:rPr>
        <w:t>H</w:t>
      </w:r>
      <w:r w:rsidRPr="00D67AE7">
        <w:rPr>
          <w:rFonts w:cstheme="minorHAnsi"/>
          <w:b/>
        </w:rPr>
        <w:t xml:space="preserve"> under curtailment compared to the level of foodborne disease experienced under current levels of livestock antibiotic usage (3.26 per 100,000 population).  </w:t>
      </w:r>
    </w:p>
    <w:bookmarkEnd w:id="3"/>
    <w:p w14:paraId="119CEF84" w14:textId="77777777" w:rsidR="008D5DB0" w:rsidRPr="00D67AE7" w:rsidRDefault="008D5DB0" w:rsidP="008D5DB0">
      <w:pPr>
        <w:pStyle w:val="NoSpacing"/>
        <w:spacing w:line="360" w:lineRule="auto"/>
        <w:jc w:val="both"/>
        <w:rPr>
          <w:rFonts w:cstheme="minorHAnsi"/>
        </w:rPr>
      </w:pPr>
    </w:p>
    <w:p w14:paraId="3B73F64F" w14:textId="758C3667" w:rsidR="005A4D68" w:rsidRDefault="008D5DB0" w:rsidP="008D5DB0">
      <w:pPr>
        <w:pStyle w:val="NoSpacing"/>
        <w:spacing w:line="360" w:lineRule="auto"/>
        <w:jc w:val="both"/>
        <w:rPr>
          <w:rFonts w:cstheme="minorHAnsi"/>
        </w:rPr>
      </w:pPr>
      <w:r w:rsidRPr="00D67AE7">
        <w:rPr>
          <w:rFonts w:cstheme="minorHAnsi"/>
        </w:rPr>
        <w:t>A sensitivity analysis was next performed to identify parameters that could best mitigate increases in I</w:t>
      </w:r>
      <w:r w:rsidR="00E7197B" w:rsidRPr="00D67AE7">
        <w:rPr>
          <w:rFonts w:cstheme="minorHAnsi"/>
          <w:vertAlign w:val="superscript"/>
        </w:rPr>
        <w:t>*</w:t>
      </w:r>
      <w:r w:rsidRPr="00D67AE7">
        <w:rPr>
          <w:rFonts w:cstheme="minorHAnsi"/>
          <w:vertAlign w:val="subscript"/>
        </w:rPr>
        <w:t>H</w:t>
      </w:r>
      <w:r w:rsidRPr="00D67AE7">
        <w:rPr>
          <w:rFonts w:cstheme="minorHAnsi"/>
        </w:rPr>
        <w:t xml:space="preserve"> under antibiotic curtailment (0 g/PCU)</w:t>
      </w:r>
      <w:r w:rsidR="00F8032F">
        <w:rPr>
          <w:rFonts w:cstheme="minorHAnsi"/>
        </w:rPr>
        <w:t xml:space="preserve"> </w:t>
      </w:r>
      <w:r w:rsidR="00F8032F" w:rsidRPr="002F522E">
        <w:rPr>
          <w:rFonts w:cstheme="minorHAnsi"/>
        </w:rPr>
        <w:t>(</w:t>
      </w:r>
      <w:r w:rsidR="001135B6">
        <w:rPr>
          <w:rFonts w:cstheme="minorHAnsi"/>
        </w:rPr>
        <w:t>Figure</w:t>
      </w:r>
      <w:r w:rsidR="00F8032F" w:rsidRPr="002F522E">
        <w:rPr>
          <w:rFonts w:cstheme="minorHAnsi"/>
        </w:rPr>
        <w:t xml:space="preserve"> 4B)</w:t>
      </w:r>
      <w:r w:rsidRPr="00D67AE7">
        <w:rPr>
          <w:rFonts w:cstheme="minorHAnsi"/>
        </w:rPr>
        <w:t xml:space="preserve">. </w:t>
      </w:r>
      <w:r w:rsidR="005A4D68">
        <w:rPr>
          <w:rFonts w:cstheme="minorHAnsi"/>
        </w:rPr>
        <w:t>This was identified by curtailing livestock antibiotic usage and identifying model parameters which cause the greatest relative change in I</w:t>
      </w:r>
      <w:r w:rsidR="005A4D68" w:rsidRPr="005A4D68">
        <w:rPr>
          <w:rFonts w:cstheme="minorHAnsi"/>
          <w:vertAlign w:val="superscript"/>
        </w:rPr>
        <w:t>*</w:t>
      </w:r>
      <w:r w:rsidR="005A4D68" w:rsidRPr="005A4D68">
        <w:rPr>
          <w:rFonts w:cstheme="minorHAnsi"/>
          <w:vertAlign w:val="subscript"/>
        </w:rPr>
        <w:t>H</w:t>
      </w:r>
      <w:r w:rsidR="005A4D68">
        <w:rPr>
          <w:rFonts w:cstheme="minorHAnsi"/>
        </w:rPr>
        <w:t xml:space="preserve"> from</w:t>
      </w:r>
      <w:r w:rsidR="00505779">
        <w:rPr>
          <w:rFonts w:cstheme="minorHAnsi"/>
        </w:rPr>
        <w:t xml:space="preserve"> </w:t>
      </w:r>
      <w:r w:rsidR="00505779">
        <w:rPr>
          <w:rFonts w:cstheme="minorHAnsi"/>
        </w:rPr>
        <w:lastRenderedPageBreak/>
        <w:t xml:space="preserve">a </w:t>
      </w:r>
      <w:r w:rsidR="00505779" w:rsidRPr="00857445">
        <w:rPr>
          <w:rFonts w:cstheme="minorHAnsi"/>
          <w:i/>
          <w:iCs/>
        </w:rPr>
        <w:t>fixed</w:t>
      </w:r>
      <w:r w:rsidR="005A4D68">
        <w:rPr>
          <w:rFonts w:cstheme="minorHAnsi"/>
        </w:rPr>
        <w:t xml:space="preserve"> baseline value of 3.26 per 100,000</w:t>
      </w:r>
      <w:r w:rsidR="00857445">
        <w:rPr>
          <w:rFonts w:cstheme="minorHAnsi"/>
        </w:rPr>
        <w:t xml:space="preserve"> (the level of salmonellosis currently observed)</w:t>
      </w:r>
      <w:r w:rsidR="005A4D68">
        <w:rPr>
          <w:rFonts w:cstheme="minorHAnsi"/>
        </w:rPr>
        <w:t>. By extension, interventions targeting these</w:t>
      </w:r>
      <w:r w:rsidR="0045009A">
        <w:rPr>
          <w:rFonts w:cstheme="minorHAnsi"/>
        </w:rPr>
        <w:t xml:space="preserve"> identified</w:t>
      </w:r>
      <w:r w:rsidR="005A4D68">
        <w:rPr>
          <w:rFonts w:cstheme="minorHAnsi"/>
        </w:rPr>
        <w:t xml:space="preserve"> parameters will be more capable of reducing levels of I</w:t>
      </w:r>
      <w:r w:rsidR="005A4D68" w:rsidRPr="005A4D68">
        <w:rPr>
          <w:rFonts w:cstheme="minorHAnsi"/>
          <w:vertAlign w:val="superscript"/>
        </w:rPr>
        <w:t>*</w:t>
      </w:r>
      <w:r w:rsidR="005A4D68" w:rsidRPr="005A4D68">
        <w:rPr>
          <w:rFonts w:cstheme="minorHAnsi"/>
          <w:vertAlign w:val="subscript"/>
        </w:rPr>
        <w:t>H</w:t>
      </w:r>
      <w:r w:rsidR="005A4D68">
        <w:rPr>
          <w:rFonts w:cstheme="minorHAnsi"/>
        </w:rPr>
        <w:t xml:space="preserve"> back down to baseline levels. These parameters are represented in the FAST analysis as explaining more of the partial variance in the model output. </w:t>
      </w:r>
    </w:p>
    <w:p w14:paraId="3E1F1116" w14:textId="77777777" w:rsidR="00F8032F" w:rsidRDefault="00F8032F" w:rsidP="008D5DB0">
      <w:pPr>
        <w:pStyle w:val="NoSpacing"/>
        <w:spacing w:line="360" w:lineRule="auto"/>
        <w:jc w:val="both"/>
        <w:rPr>
          <w:rFonts w:cstheme="minorHAnsi"/>
        </w:rPr>
      </w:pPr>
    </w:p>
    <w:p w14:paraId="4C9D44D6" w14:textId="446E9E37" w:rsidR="008D5DB0" w:rsidRPr="00D67AE7" w:rsidRDefault="008D5DB0" w:rsidP="008D5DB0">
      <w:pPr>
        <w:pStyle w:val="NoSpacing"/>
        <w:spacing w:line="360" w:lineRule="auto"/>
        <w:jc w:val="both"/>
        <w:rPr>
          <w:rFonts w:cstheme="minorHAnsi"/>
        </w:rPr>
      </w:pPr>
      <w:r w:rsidRPr="00D67AE7">
        <w:rPr>
          <w:rFonts w:cstheme="minorHAnsi"/>
        </w:rPr>
        <w:t>We identified control of the human recovery rate (</w:t>
      </w:r>
      <w:proofErr w:type="spellStart"/>
      <w:r w:rsidRPr="00D67AE7">
        <w:rPr>
          <w:rFonts w:cstheme="minorHAnsi"/>
        </w:rPr>
        <w:t>r</w:t>
      </w:r>
      <w:r w:rsidRPr="00D67AE7">
        <w:rPr>
          <w:rFonts w:cstheme="minorHAnsi"/>
          <w:vertAlign w:val="subscript"/>
        </w:rPr>
        <w:t>H</w:t>
      </w:r>
      <w:proofErr w:type="spellEnd"/>
      <w:r w:rsidRPr="00D67AE7">
        <w:rPr>
          <w:rFonts w:cstheme="minorHAnsi"/>
        </w:rPr>
        <w:t>) and the per capita rate of animal-to-animal transmission (β</w:t>
      </w:r>
      <w:r w:rsidRPr="00D67AE7">
        <w:rPr>
          <w:rFonts w:cstheme="minorHAnsi"/>
          <w:vertAlign w:val="subscript"/>
        </w:rPr>
        <w:t>HA</w:t>
      </w:r>
      <w:r w:rsidRPr="00D67AE7">
        <w:rPr>
          <w:rFonts w:cstheme="minorHAnsi"/>
        </w:rPr>
        <w:t>) as the key parameters to mitigate increases in I</w:t>
      </w:r>
      <w:r w:rsidR="00395A81" w:rsidRPr="00D67AE7">
        <w:rPr>
          <w:rFonts w:cstheme="minorHAnsi"/>
          <w:vertAlign w:val="superscript"/>
        </w:rPr>
        <w:t>*</w:t>
      </w:r>
      <w:r w:rsidRPr="00D67AE7">
        <w:rPr>
          <w:rFonts w:cstheme="minorHAnsi"/>
          <w:vertAlign w:val="subscript"/>
        </w:rPr>
        <w:t>H</w:t>
      </w:r>
      <w:r w:rsidRPr="00D67AE7">
        <w:rPr>
          <w:rFonts w:cstheme="minorHAnsi"/>
        </w:rPr>
        <w:t>. To explore this sensitivity analysis in more detail, each parameter was individually altered to explore the parameter-specific impact on relative changes in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under livestock antibiotic curtailment (τ = 0 g/</w:t>
      </w:r>
      <w:r w:rsidR="00F06C62" w:rsidRPr="00D67AE7">
        <w:rPr>
          <w:rFonts w:cstheme="minorHAnsi"/>
        </w:rPr>
        <w:t>PCU) compared</w:t>
      </w:r>
      <w:r w:rsidRPr="00D67AE7">
        <w:rPr>
          <w:rFonts w:cstheme="minorHAnsi"/>
        </w:rPr>
        <w:t xml:space="preserve"> to the current baseline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(3.26 per 100,000). </w:t>
      </w:r>
      <w:r w:rsidR="005A4D68">
        <w:rPr>
          <w:rFonts w:cstheme="minorHAnsi"/>
        </w:rPr>
        <w:t xml:space="preserve">Increasing </w:t>
      </w:r>
      <w:proofErr w:type="spellStart"/>
      <w:r w:rsidRPr="00D67AE7">
        <w:rPr>
          <w:rFonts w:cstheme="minorHAnsi"/>
        </w:rPr>
        <w:t>r</w:t>
      </w:r>
      <w:r w:rsidRPr="00D67AE7">
        <w:rPr>
          <w:rFonts w:cstheme="minorHAnsi"/>
          <w:vertAlign w:val="subscript"/>
        </w:rPr>
        <w:t>H</w:t>
      </w:r>
      <w:proofErr w:type="spellEnd"/>
      <w:r w:rsidRPr="00D67AE7">
        <w:rPr>
          <w:rFonts w:cstheme="minorHAnsi"/>
        </w:rPr>
        <w:t xml:space="preserve"> and </w:t>
      </w:r>
      <w:r w:rsidR="005A4D68">
        <w:rPr>
          <w:rFonts w:cstheme="minorHAnsi"/>
        </w:rPr>
        <w:t xml:space="preserve">decreasing </w:t>
      </w:r>
      <w:r w:rsidRPr="00D67AE7">
        <w:rPr>
          <w:rFonts w:cstheme="minorHAnsi"/>
        </w:rPr>
        <w:t>β</w:t>
      </w:r>
      <w:r w:rsidRPr="00D67AE7">
        <w:rPr>
          <w:rFonts w:cstheme="minorHAnsi"/>
          <w:vertAlign w:val="subscript"/>
        </w:rPr>
        <w:t>HA</w:t>
      </w:r>
      <w:r w:rsidRPr="00D67AE7">
        <w:rPr>
          <w:rFonts w:cstheme="minorHAnsi"/>
        </w:rPr>
        <w:t xml:space="preserve"> resulted in lower relative </w:t>
      </w:r>
      <w:r w:rsidR="005A4D68">
        <w:rPr>
          <w:rFonts w:cstheme="minorHAnsi"/>
        </w:rPr>
        <w:t>changes</w:t>
      </w:r>
      <w:r w:rsidRPr="00D67AE7">
        <w:rPr>
          <w:rFonts w:cstheme="minorHAnsi"/>
        </w:rPr>
        <w:t xml:space="preserve"> in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under antibiotic curtailment</w:t>
      </w:r>
      <w:r w:rsidR="005A4D68">
        <w:rPr>
          <w:rFonts w:cstheme="minorHAnsi"/>
        </w:rPr>
        <w:t xml:space="preserve"> compared to </w:t>
      </w:r>
      <w:r w:rsidR="005A4D68" w:rsidRPr="00D67AE7">
        <w:rPr>
          <w:rFonts w:cstheme="minorHAnsi"/>
        </w:rPr>
        <w:t>3.26 per 100,000</w:t>
      </w:r>
      <w:r w:rsidRPr="00D67AE7">
        <w:rPr>
          <w:rFonts w:cstheme="minorHAnsi"/>
        </w:rPr>
        <w:t>, therefore representing the best</w:t>
      </w:r>
      <w:r w:rsidR="005A4D68">
        <w:rPr>
          <w:rFonts w:cstheme="minorHAnsi"/>
        </w:rPr>
        <w:t xml:space="preserve"> parameter</w:t>
      </w:r>
      <w:r w:rsidRPr="00D67AE7">
        <w:rPr>
          <w:rFonts w:cstheme="minorHAnsi"/>
        </w:rPr>
        <w:t xml:space="preserve"> </w:t>
      </w:r>
      <w:r w:rsidR="005A4D68">
        <w:rPr>
          <w:rFonts w:cstheme="minorHAnsi"/>
        </w:rPr>
        <w:t xml:space="preserve">interventions </w:t>
      </w:r>
      <w:r w:rsidRPr="00D67AE7">
        <w:rPr>
          <w:rFonts w:cstheme="minorHAnsi"/>
        </w:rPr>
        <w:t>to mitigate potential increases in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due to livestock antibiotic curtailment (</w:t>
      </w:r>
      <w:r w:rsidRPr="002F522E">
        <w:rPr>
          <w:rFonts w:cstheme="minorHAnsi"/>
          <w:bCs/>
        </w:rPr>
        <w:t>Figure S</w:t>
      </w:r>
      <w:r w:rsidR="002F522E" w:rsidRPr="002F522E">
        <w:rPr>
          <w:rFonts w:cstheme="minorHAnsi"/>
          <w:bCs/>
        </w:rPr>
        <w:t>6</w:t>
      </w:r>
      <w:r w:rsidRPr="00D67AE7">
        <w:rPr>
          <w:rFonts w:cstheme="minorHAnsi"/>
        </w:rPr>
        <w:t xml:space="preserve">).   </w:t>
      </w:r>
    </w:p>
    <w:p w14:paraId="4866B430" w14:textId="77777777" w:rsidR="008D5DB0" w:rsidRPr="00D67AE7" w:rsidRDefault="008D5DB0" w:rsidP="008D5DB0">
      <w:pPr>
        <w:pStyle w:val="NoSpacing"/>
        <w:spacing w:line="360" w:lineRule="auto"/>
        <w:jc w:val="both"/>
        <w:rPr>
          <w:rFonts w:cstheme="minorHAnsi"/>
        </w:rPr>
      </w:pPr>
    </w:p>
    <w:p w14:paraId="271B653D" w14:textId="614AE90C" w:rsidR="008D5DB0" w:rsidRPr="00D67AE7" w:rsidRDefault="008D5DB0" w:rsidP="008D5DB0">
      <w:pPr>
        <w:pStyle w:val="NoSpacing"/>
        <w:spacing w:line="360" w:lineRule="auto"/>
        <w:jc w:val="both"/>
        <w:rPr>
          <w:rFonts w:cstheme="minorHAnsi"/>
        </w:rPr>
      </w:pPr>
      <w:r w:rsidRPr="00D67AE7">
        <w:rPr>
          <w:rFonts w:cstheme="minorHAnsi"/>
        </w:rPr>
        <w:t xml:space="preserve">We note that despite the highly influential nature of </w:t>
      </w:r>
      <w:proofErr w:type="spellStart"/>
      <w:r w:rsidRPr="00D67AE7">
        <w:rPr>
          <w:rFonts w:cstheme="minorHAnsi"/>
        </w:rPr>
        <w:t>r</w:t>
      </w:r>
      <w:r w:rsidRPr="00D67AE7">
        <w:rPr>
          <w:rFonts w:cstheme="minorHAnsi"/>
          <w:vertAlign w:val="subscript"/>
        </w:rPr>
        <w:t>H</w:t>
      </w:r>
      <w:proofErr w:type="spellEnd"/>
      <w:r w:rsidRPr="00D67AE7">
        <w:rPr>
          <w:rFonts w:cstheme="minorHAnsi"/>
        </w:rPr>
        <w:t xml:space="preserve"> and β</w:t>
      </w:r>
      <w:r w:rsidRPr="00D67AE7">
        <w:rPr>
          <w:rFonts w:cstheme="minorHAnsi"/>
          <w:vertAlign w:val="subscript"/>
        </w:rPr>
        <w:t>HA</w:t>
      </w:r>
      <w:r w:rsidRPr="00D67AE7">
        <w:rPr>
          <w:rFonts w:cstheme="minorHAnsi"/>
        </w:rPr>
        <w:t xml:space="preserve"> parameters in mitigating increases in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w:t>
      </w:r>
      <w:r w:rsidRPr="001135B6">
        <w:rPr>
          <w:rFonts w:cstheme="minorHAnsi"/>
        </w:rPr>
        <w:t>Figure 4B</w:t>
      </w:r>
      <w:r w:rsidRPr="00D67AE7">
        <w:rPr>
          <w:rFonts w:cstheme="minorHAnsi"/>
        </w:rPr>
        <w:t>), only β</w:t>
      </w:r>
      <w:r w:rsidRPr="00D67AE7">
        <w:rPr>
          <w:rFonts w:cstheme="minorHAnsi"/>
          <w:vertAlign w:val="subscript"/>
        </w:rPr>
        <w:t>HA</w:t>
      </w:r>
      <w:r w:rsidRPr="00D67AE7">
        <w:rPr>
          <w:rFonts w:cstheme="minorHAnsi"/>
        </w:rPr>
        <w:t xml:space="preserve"> can be considered alterable, with pharmaceutical interventions unlikely to be effective at </w:t>
      </w:r>
      <w:r w:rsidR="00E50022">
        <w:rPr>
          <w:rFonts w:cstheme="minorHAnsi"/>
        </w:rPr>
        <w:t>increasing the rate of recovery (and decreasing</w:t>
      </w:r>
      <w:r w:rsidRPr="00D67AE7">
        <w:rPr>
          <w:rFonts w:cstheme="minorHAnsi"/>
        </w:rPr>
        <w:t xml:space="preserve"> </w:t>
      </w:r>
      <w:proofErr w:type="spellStart"/>
      <w:r w:rsidRPr="00D67AE7">
        <w:rPr>
          <w:rFonts w:cstheme="minorHAnsi"/>
        </w:rPr>
        <w:t>r</w:t>
      </w:r>
      <w:r w:rsidRPr="00D67AE7">
        <w:rPr>
          <w:rFonts w:cstheme="minorHAnsi"/>
          <w:vertAlign w:val="subscript"/>
        </w:rPr>
        <w:t>H</w:t>
      </w:r>
      <w:proofErr w:type="spellEnd"/>
      <w:r w:rsidR="00E50022">
        <w:rPr>
          <w:rFonts w:cstheme="minorHAnsi"/>
        </w:rPr>
        <w:t xml:space="preserve">) </w:t>
      </w:r>
      <w:r w:rsidR="00CD09DF" w:rsidRPr="00D67AE7">
        <w:t>(</w:t>
      </w:r>
      <w:r w:rsidR="00CD09DF" w:rsidRPr="00D67AE7">
        <w:rPr>
          <w:b/>
          <w:bCs/>
          <w:highlight w:val="yellow"/>
        </w:rPr>
        <w:t>CITE</w:t>
      </w:r>
      <w:r w:rsidR="00CD09DF" w:rsidRPr="00D67AE7">
        <w:t>)</w:t>
      </w:r>
      <w:r w:rsidRPr="00D67AE7">
        <w:rPr>
          <w:rFonts w:cstheme="minorHAnsi"/>
        </w:rPr>
        <w:t>. Both β</w:t>
      </w:r>
      <w:r w:rsidRPr="00D67AE7">
        <w:rPr>
          <w:rFonts w:cstheme="minorHAnsi"/>
          <w:vertAlign w:val="subscript"/>
        </w:rPr>
        <w:t>AA</w:t>
      </w:r>
      <w:r w:rsidRPr="00D67AE7">
        <w:rPr>
          <w:rFonts w:cstheme="minorHAnsi"/>
        </w:rPr>
        <w:t xml:space="preserve"> and ζ parameters were </w:t>
      </w:r>
      <w:r w:rsidR="00E50022">
        <w:rPr>
          <w:rFonts w:cstheme="minorHAnsi"/>
        </w:rPr>
        <w:t>instead</w:t>
      </w:r>
      <w:r w:rsidRPr="00D67AE7">
        <w:rPr>
          <w:rFonts w:cstheme="minorHAnsi"/>
        </w:rPr>
        <w:t xml:space="preserve"> considered as potential intervention targets,</w:t>
      </w:r>
      <w:r w:rsidR="00E50022">
        <w:rPr>
          <w:rFonts w:cstheme="minorHAnsi"/>
        </w:rPr>
        <w:t xml:space="preserve"> due to their relevance in agricultural biosecurity strategies </w:t>
      </w:r>
      <w:r w:rsidR="00E50022" w:rsidRPr="00D67AE7">
        <w:rPr>
          <w:rFonts w:cstheme="minorHAnsi"/>
        </w:rPr>
        <w:t xml:space="preserve">to promote livestock health </w:t>
      </w:r>
      <w:r w:rsidR="00857445">
        <w:rPr>
          <w:rFonts w:cstheme="minorHAnsi"/>
        </w:rPr>
        <w:t>and</w:t>
      </w:r>
      <w:r w:rsidR="00E50022">
        <w:rPr>
          <w:rFonts w:cstheme="minorHAnsi"/>
        </w:rPr>
        <w:t xml:space="preserve"> mitigate livestock diseas</w:t>
      </w:r>
      <w:r w:rsidR="00857445">
        <w:rPr>
          <w:rFonts w:cstheme="minorHAnsi"/>
        </w:rPr>
        <w:t>e/</w:t>
      </w:r>
      <w:r w:rsidR="00E50022">
        <w:rPr>
          <w:rFonts w:cstheme="minorHAnsi"/>
        </w:rPr>
        <w:t xml:space="preserve">AMR </w:t>
      </w:r>
      <w:r w:rsidR="00E50022" w:rsidRPr="00D67AE7">
        <w:t>(</w:t>
      </w:r>
      <w:r w:rsidR="00E50022" w:rsidRPr="00D67AE7">
        <w:rPr>
          <w:b/>
          <w:bCs/>
          <w:highlight w:val="yellow"/>
        </w:rPr>
        <w:t>CITE</w:t>
      </w:r>
      <w:r w:rsidR="00E50022" w:rsidRPr="00D67AE7">
        <w:t>)</w:t>
      </w:r>
      <w:r w:rsidRPr="00D67AE7">
        <w:rPr>
          <w:rFonts w:cstheme="minorHAnsi"/>
        </w:rPr>
        <w:t xml:space="preserve">. </w:t>
      </w:r>
    </w:p>
    <w:p w14:paraId="610799CB" w14:textId="77777777" w:rsidR="008D5DB0" w:rsidRPr="00D67AE7" w:rsidRDefault="008D5DB0" w:rsidP="008D5DB0">
      <w:pPr>
        <w:pStyle w:val="NoSpacing"/>
        <w:spacing w:line="360" w:lineRule="auto"/>
        <w:jc w:val="both"/>
        <w:rPr>
          <w:rFonts w:cstheme="minorHAnsi"/>
        </w:rPr>
      </w:pPr>
    </w:p>
    <w:p w14:paraId="7BA3E945" w14:textId="6F75B6AE" w:rsidR="008D5DB0" w:rsidRPr="00D67AE7" w:rsidRDefault="008D5DB0" w:rsidP="008D5DB0">
      <w:pPr>
        <w:pStyle w:val="NoSpacing"/>
        <w:spacing w:line="360" w:lineRule="auto"/>
        <w:jc w:val="both"/>
        <w:rPr>
          <w:rFonts w:cstheme="minorHAnsi"/>
        </w:rPr>
      </w:pPr>
      <w:r w:rsidRPr="00D67AE7">
        <w:rPr>
          <w:rFonts w:cstheme="minorHAnsi"/>
        </w:rPr>
        <w:t>Alterations to β</w:t>
      </w:r>
      <w:r w:rsidRPr="00D67AE7">
        <w:rPr>
          <w:rFonts w:cstheme="minorHAnsi"/>
          <w:vertAlign w:val="subscript"/>
        </w:rPr>
        <w:t>HA</w:t>
      </w:r>
      <w:r w:rsidRPr="00D67AE7">
        <w:rPr>
          <w:rFonts w:cstheme="minorHAnsi"/>
        </w:rPr>
        <w:t>, β</w:t>
      </w:r>
      <w:r w:rsidRPr="00D67AE7">
        <w:rPr>
          <w:rFonts w:cstheme="minorHAnsi"/>
          <w:vertAlign w:val="subscript"/>
        </w:rPr>
        <w:t>AA</w:t>
      </w:r>
      <w:r w:rsidRPr="00D67AE7">
        <w:rPr>
          <w:rFonts w:cstheme="minorHAnsi"/>
        </w:rPr>
        <w:t xml:space="preserve"> and ζ parameters were explored to identify potential interventions to mitigate increases in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under antibiotic curtailment (0 g/PCU), below a threshold of 3.26 per 100,000 population. This threshold represent</w:t>
      </w:r>
      <w:r w:rsidR="00924E01">
        <w:rPr>
          <w:rFonts w:cstheme="minorHAnsi"/>
        </w:rPr>
        <w:t>s</w:t>
      </w:r>
      <w:r w:rsidRPr="00D67AE7">
        <w:rPr>
          <w:rFonts w:cstheme="minorHAnsi"/>
        </w:rPr>
        <w:t xml:space="preserve"> a removal of livestock antibiotic selection pressure (0 g/</w:t>
      </w:r>
      <w:proofErr w:type="spellStart"/>
      <w:r w:rsidRPr="00D67AE7">
        <w:rPr>
          <w:rFonts w:cstheme="minorHAnsi"/>
        </w:rPr>
        <w:t>pCU</w:t>
      </w:r>
      <w:proofErr w:type="spellEnd"/>
      <w:r w:rsidRPr="00D67AE7">
        <w:rPr>
          <w:rFonts w:cstheme="minorHAnsi"/>
        </w:rPr>
        <w:t>) and a prevention of increases in I</w:t>
      </w:r>
      <w:r w:rsidR="00395A81" w:rsidRPr="00D67AE7">
        <w:rPr>
          <w:rFonts w:cstheme="minorHAnsi"/>
          <w:vertAlign w:val="superscript"/>
        </w:rPr>
        <w:t>*</w:t>
      </w:r>
      <w:r w:rsidRPr="00D67AE7">
        <w:rPr>
          <w:rFonts w:cstheme="minorHAnsi"/>
          <w:vertAlign w:val="subscript"/>
        </w:rPr>
        <w:t>H</w:t>
      </w:r>
      <w:r w:rsidRPr="00D67AE7">
        <w:rPr>
          <w:rFonts w:cstheme="minorHAnsi"/>
        </w:rPr>
        <w:t xml:space="preserve"> above what is currently observed for human salmonellosis (3.26 per 100,000). Three intervention scenarios were explored 1) reductions to β</w:t>
      </w:r>
      <w:r w:rsidRPr="00D67AE7">
        <w:rPr>
          <w:rFonts w:cstheme="minorHAnsi"/>
          <w:vertAlign w:val="subscript"/>
        </w:rPr>
        <w:t>AA</w:t>
      </w:r>
      <w:r w:rsidRPr="00D67AE7">
        <w:rPr>
          <w:rFonts w:cstheme="minorHAnsi"/>
        </w:rPr>
        <w:t xml:space="preserve"> and β</w:t>
      </w:r>
      <w:r w:rsidRPr="00D67AE7">
        <w:rPr>
          <w:rFonts w:cstheme="minorHAnsi"/>
          <w:vertAlign w:val="subscript"/>
        </w:rPr>
        <w:t>HA</w:t>
      </w:r>
      <w:r w:rsidRPr="00D67AE7">
        <w:rPr>
          <w:rFonts w:cstheme="minorHAnsi"/>
        </w:rPr>
        <w:t>, 2) reductions to ζ and β</w:t>
      </w:r>
      <w:r w:rsidRPr="00D67AE7">
        <w:rPr>
          <w:rFonts w:cstheme="minorHAnsi"/>
          <w:vertAlign w:val="subscript"/>
        </w:rPr>
        <w:t>HA</w:t>
      </w:r>
      <w:r w:rsidRPr="00D67AE7">
        <w:rPr>
          <w:rFonts w:cstheme="minorHAnsi"/>
        </w:rPr>
        <w:t xml:space="preserve"> and 3) reductions to both β</w:t>
      </w:r>
      <w:r w:rsidRPr="00D67AE7">
        <w:rPr>
          <w:rFonts w:cstheme="minorHAnsi"/>
          <w:vertAlign w:val="subscript"/>
        </w:rPr>
        <w:t>AA</w:t>
      </w:r>
      <w:r w:rsidRPr="00D67AE7">
        <w:rPr>
          <w:rFonts w:cstheme="minorHAnsi"/>
        </w:rPr>
        <w:t>/ζ and β</w:t>
      </w:r>
      <w:r w:rsidRPr="00D67AE7">
        <w:rPr>
          <w:rFonts w:cstheme="minorHAnsi"/>
          <w:vertAlign w:val="subscript"/>
        </w:rPr>
        <w:t>HA</w:t>
      </w:r>
      <w:r w:rsidRPr="00D67AE7">
        <w:rPr>
          <w:rFonts w:cstheme="minorHAnsi"/>
        </w:rPr>
        <w:t>. Note that the last intervention scenario represents the most comprehensive package of measures to reduce transmission and contamination of livestock from foodborne bacteria in agricultural settings. A limited range of transmission parameter reductions were explored for each intervention scenarios.</w:t>
      </w:r>
      <w:r w:rsidRPr="00D67AE7">
        <w:rPr>
          <w:rFonts w:cstheme="minorHAnsi"/>
          <w:vertAlign w:val="subscript"/>
        </w:rPr>
        <w:t xml:space="preserve"> </w:t>
      </w:r>
      <w:r w:rsidRPr="00D67AE7">
        <w:rPr>
          <w:rFonts w:cstheme="minorHAnsi"/>
        </w:rPr>
        <w:t>(</w:t>
      </w:r>
      <w:r w:rsidR="00D546AA" w:rsidRPr="00D67AE7">
        <w:rPr>
          <w:rFonts w:cstheme="minorHAnsi"/>
        </w:rPr>
        <w:t>0% - 25%)</w:t>
      </w:r>
      <w:r w:rsidRPr="00D67AE7">
        <w:rPr>
          <w:rFonts w:cstheme="minorHAnsi"/>
        </w:rPr>
        <w:t xml:space="preserve"> </w:t>
      </w:r>
      <w:r w:rsidRPr="001135B6">
        <w:rPr>
          <w:rFonts w:cstheme="minorHAnsi"/>
        </w:rPr>
        <w:t>(Figure 5)</w:t>
      </w:r>
      <w:r w:rsidRPr="00D67AE7">
        <w:rPr>
          <w:rFonts w:cstheme="minorHAnsi"/>
          <w:b/>
        </w:rPr>
        <w:t>.</w:t>
      </w:r>
    </w:p>
    <w:p w14:paraId="53AEFD5E" w14:textId="229C9324" w:rsidR="008D5DB0" w:rsidRDefault="008D5DB0" w:rsidP="00E50022">
      <w:pPr>
        <w:pStyle w:val="NoSpacing"/>
        <w:spacing w:line="360" w:lineRule="auto"/>
        <w:rPr>
          <w:rFonts w:cstheme="minorHAnsi"/>
        </w:rPr>
      </w:pPr>
    </w:p>
    <w:p w14:paraId="449542A1" w14:textId="398518D6" w:rsidR="0084700F" w:rsidRPr="004F3AF2" w:rsidRDefault="0084700F" w:rsidP="008D5DB0">
      <w:pPr>
        <w:pStyle w:val="NoSpacing"/>
        <w:spacing w:line="360" w:lineRule="auto"/>
        <w:jc w:val="center"/>
        <w:rPr>
          <w:rFonts w:cstheme="minorHAnsi"/>
        </w:rPr>
      </w:pPr>
      <w:r>
        <w:rPr>
          <w:noProof/>
          <w:lang w:eastAsia="en-GB"/>
        </w:rPr>
        <w:lastRenderedPageBreak/>
        <w:drawing>
          <wp:inline distT="0" distB="0" distL="0" distR="0" wp14:anchorId="6678E23C" wp14:editId="051F6378">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15B81F23" w:rsidR="008D5DB0" w:rsidRPr="00D67AE7" w:rsidRDefault="008D5DB0" w:rsidP="008D5DB0">
      <w:pPr>
        <w:pStyle w:val="NoSpacing"/>
        <w:spacing w:line="360" w:lineRule="auto"/>
        <w:jc w:val="both"/>
        <w:rPr>
          <w:rFonts w:cstheme="minorHAnsi"/>
          <w:bCs/>
        </w:rPr>
      </w:pPr>
      <w:r w:rsidRPr="00D67AE7">
        <w:rPr>
          <w:rFonts w:cstheme="minorHAnsi"/>
          <w:b/>
        </w:rPr>
        <w:t>Figure 5 – Reductions to key model parameters</w:t>
      </w:r>
      <w:r w:rsidR="00F06C62" w:rsidRPr="00D67AE7">
        <w:rPr>
          <w:rFonts w:cstheme="minorHAnsi"/>
          <w:b/>
        </w:rPr>
        <w:t xml:space="preserve">, </w:t>
      </w:r>
      <w:r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Pr="00D67AE7">
        <w:rPr>
          <w:rFonts w:cstheme="minorHAnsi"/>
          <w:b/>
        </w:rPr>
        <w:t xml:space="preserve"> to mitigate increases in overall human foodborne disease (I</w:t>
      </w:r>
      <w:r w:rsidR="00395A81" w:rsidRPr="00D67AE7">
        <w:rPr>
          <w:rFonts w:cstheme="minorHAnsi"/>
          <w:vertAlign w:val="superscript"/>
        </w:rPr>
        <w:t>*</w:t>
      </w:r>
      <w:r w:rsidRPr="00D67AE7">
        <w:rPr>
          <w:rFonts w:cstheme="minorHAnsi"/>
          <w:b/>
          <w:vertAlign w:val="subscript"/>
        </w:rPr>
        <w:t>H</w:t>
      </w:r>
      <w:r w:rsidRPr="00D67AE7">
        <w:rPr>
          <w:rFonts w:cstheme="minorHAnsi"/>
          <w:b/>
        </w:rPr>
        <w:t xml:space="preserve">) under livestock antibiotic curtailment (τ = 0 g/PCU). A) tetracycline-resistance in fattening pigs, B) ampicillin-resistance in fattening pigs and C) tetracycline-resistance in broiler poultry. </w:t>
      </w:r>
      <w:r w:rsidR="00D67AE7" w:rsidRPr="00D67AE7">
        <w:rPr>
          <w:rFonts w:cstheme="minorHAnsi"/>
          <w:bCs/>
        </w:rPr>
        <w:t>Axes</w:t>
      </w:r>
      <w:r w:rsidRPr="00D67AE7">
        <w:rPr>
          <w:rFonts w:cstheme="minorHAnsi"/>
          <w:bCs/>
        </w:rPr>
        <w:t xml:space="preserve"> represent </w:t>
      </w:r>
      <w:r w:rsidR="00E50022">
        <w:rPr>
          <w:rFonts w:cstheme="minorHAnsi"/>
          <w:bCs/>
        </w:rPr>
        <w:t xml:space="preserve">interventions that reduce the labelled transmission rate(s) to </w:t>
      </w:r>
      <w:r w:rsidRPr="00D67AE7">
        <w:rPr>
          <w:rFonts w:cstheme="minorHAnsi"/>
          <w:bCs/>
        </w:rPr>
        <w:t xml:space="preserve">% </w:t>
      </w:r>
      <w:r w:rsidR="00E50022">
        <w:rPr>
          <w:rFonts w:cstheme="minorHAnsi"/>
          <w:bCs/>
        </w:rPr>
        <w:t xml:space="preserve">of their original values. </w:t>
      </w:r>
      <w:r w:rsidRPr="00D67AE7">
        <w:rPr>
          <w:rFonts w:cstheme="minorHAnsi"/>
          <w:bCs/>
        </w:rPr>
        <w:t>Note that the top right corner of each contour plot represents a scenario with curtailment of antibiotics and no further alterations to any model parameter. The red line represents the threshold at which I</w:t>
      </w:r>
      <w:r w:rsidR="00395A81" w:rsidRPr="00D67AE7">
        <w:rPr>
          <w:rFonts w:cstheme="minorHAnsi"/>
          <w:vertAlign w:val="superscript"/>
        </w:rPr>
        <w:t>*</w:t>
      </w:r>
      <w:r w:rsidRPr="00D67AE7">
        <w:rPr>
          <w:rFonts w:cstheme="minorHAnsi"/>
          <w:bCs/>
          <w:vertAlign w:val="subscript"/>
        </w:rPr>
        <w:t>H</w:t>
      </w:r>
      <w:r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Pr="00D67AE7">
        <w:rPr>
          <w:rFonts w:cstheme="minorHAnsi"/>
          <w:bCs/>
        </w:rPr>
        <w:t xml:space="preserve">3.26 per 100,000). </w:t>
      </w:r>
    </w:p>
    <w:p w14:paraId="3CA3007C" w14:textId="77777777" w:rsidR="00395A81" w:rsidRPr="00D67AE7" w:rsidRDefault="00395A81" w:rsidP="008D5DB0">
      <w:pPr>
        <w:pStyle w:val="NoSpacing"/>
        <w:spacing w:line="360" w:lineRule="auto"/>
        <w:jc w:val="both"/>
        <w:rPr>
          <w:rFonts w:cstheme="minorHAnsi"/>
          <w:b/>
        </w:rPr>
      </w:pPr>
    </w:p>
    <w:p w14:paraId="592E4B8F" w14:textId="6E946A9D" w:rsidR="00697720" w:rsidRPr="00D67AE7" w:rsidRDefault="00C122B2" w:rsidP="008D5DB0">
      <w:pPr>
        <w:pStyle w:val="NoSpacing"/>
        <w:spacing w:line="360" w:lineRule="auto"/>
        <w:jc w:val="both"/>
        <w:rPr>
          <w:rFonts w:cstheme="minorHAnsi"/>
        </w:rPr>
      </w:pPr>
      <w:r w:rsidRPr="00737B8B">
        <w:rPr>
          <w:rFonts w:cstheme="minorHAnsi"/>
        </w:rPr>
        <w:t>Isolated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sidR="00EF6E77" w:rsidRPr="00737B8B">
        <w:rPr>
          <w:rFonts w:cstheme="minorHAnsi"/>
        </w:rPr>
        <w:t xml:space="preserve"> increases to I</w:t>
      </w:r>
      <w:r w:rsidR="00EF6E77" w:rsidRPr="00737B8B">
        <w:rPr>
          <w:rFonts w:cstheme="minorHAnsi"/>
          <w:vertAlign w:val="superscript"/>
        </w:rPr>
        <w:t>*</w:t>
      </w:r>
      <w:r w:rsidR="00EF6E77" w:rsidRPr="00737B8B">
        <w:rPr>
          <w:rFonts w:cstheme="minorHAnsi"/>
          <w:vertAlign w:val="subscript"/>
        </w:rPr>
        <w:t>H</w:t>
      </w:r>
      <w:r w:rsidR="00EF6E77" w:rsidRPr="00737B8B">
        <w:rPr>
          <w:rFonts w:cstheme="minorHAnsi"/>
        </w:rPr>
        <w:t xml:space="preserve"> below baseline levels </w:t>
      </w:r>
      <w:r w:rsidRPr="00737B8B">
        <w:rPr>
          <w:rFonts w:cstheme="minorHAnsi"/>
        </w:rPr>
        <w:t xml:space="preserve">across </w:t>
      </w:r>
      <w:r w:rsidR="00836F29" w:rsidRPr="00737B8B">
        <w:rPr>
          <w:rFonts w:cstheme="minorHAnsi"/>
        </w:rPr>
        <w:t>all</w:t>
      </w:r>
      <w:r w:rsidRPr="00737B8B">
        <w:rPr>
          <w:rFonts w:cstheme="minorHAnsi"/>
        </w:rPr>
        <w:t xml:space="preserve"> considered case studies with a reduction of </w:t>
      </w:r>
      <w:r w:rsidR="00836F29" w:rsidRPr="00022E93">
        <w:rPr>
          <w:rFonts w:cstheme="minorHAnsi"/>
          <w:highlight w:val="yellow"/>
        </w:rPr>
        <w:t>22</w:t>
      </w:r>
      <w:r w:rsidR="00836F29" w:rsidRPr="00737B8B">
        <w:rPr>
          <w:rFonts w:cstheme="minorHAnsi"/>
        </w:rPr>
        <w:t>%</w:t>
      </w:r>
      <w:r w:rsidRPr="00737B8B">
        <w:rPr>
          <w:rFonts w:cstheme="minorHAnsi"/>
        </w:rPr>
        <w:t xml:space="preserve">, </w:t>
      </w:r>
      <w:r w:rsidR="00836F29" w:rsidRPr="00022E93">
        <w:rPr>
          <w:rFonts w:cstheme="minorHAnsi"/>
          <w:highlight w:val="yellow"/>
        </w:rPr>
        <w:t>21</w:t>
      </w:r>
      <w:r w:rsidR="00836F29" w:rsidRPr="00737B8B">
        <w:rPr>
          <w:rFonts w:cstheme="minorHAnsi"/>
        </w:rPr>
        <w:t>%</w:t>
      </w:r>
      <w:r w:rsidRPr="00737B8B">
        <w:rPr>
          <w:rFonts w:cstheme="minorHAnsi"/>
        </w:rPr>
        <w:t xml:space="preserve"> and </w:t>
      </w:r>
      <w:r w:rsidR="00836F29" w:rsidRPr="00022E93">
        <w:rPr>
          <w:rFonts w:cstheme="minorHAnsi"/>
          <w:highlight w:val="yellow"/>
        </w:rPr>
        <w:t>12</w:t>
      </w:r>
      <w:r w:rsidR="00836F29" w:rsidRPr="00737B8B">
        <w:rPr>
          <w:rFonts w:cstheme="minorHAnsi"/>
        </w:rPr>
        <w:t>%</w:t>
      </w:r>
      <w:r w:rsidRPr="00737B8B">
        <w:rPr>
          <w:rFonts w:cstheme="minorHAnsi"/>
        </w:rPr>
        <w:t xml:space="preserve"> required for each case stud</w:t>
      </w:r>
      <w:r w:rsidRPr="001135B6">
        <w:rPr>
          <w:rFonts w:cstheme="minorHAnsi"/>
        </w:rPr>
        <w:t xml:space="preserve">y </w:t>
      </w:r>
      <w:r w:rsidR="00697720" w:rsidRPr="001135B6">
        <w:rPr>
          <w:rFonts w:cstheme="minorHAnsi"/>
        </w:rPr>
        <w:t xml:space="preserve">(Figure </w:t>
      </w:r>
      <w:r w:rsidR="00697720" w:rsidRPr="001135B6">
        <w:rPr>
          <w:rFonts w:cstheme="minorHAnsi"/>
        </w:rPr>
        <w:lastRenderedPageBreak/>
        <w:t>5)</w:t>
      </w:r>
      <w:r w:rsidRPr="001135B6">
        <w:rPr>
          <w:rFonts w:cstheme="minorHAnsi"/>
        </w:rPr>
        <w:t xml:space="preserve">. </w:t>
      </w:r>
      <w:r w:rsidR="00697720" w:rsidRPr="001135B6">
        <w:rPr>
          <w:rFonts w:cstheme="minorHAnsi"/>
        </w:rPr>
        <w:t>I</w:t>
      </w:r>
      <w:r w:rsidRPr="001135B6">
        <w:rPr>
          <w:rFonts w:cstheme="minorHAnsi"/>
        </w:rPr>
        <w:t>solated</w:t>
      </w:r>
      <w:r w:rsidR="005F3DDA" w:rsidRPr="001135B6">
        <w:rPr>
          <w:rFonts w:cstheme="minorHAnsi"/>
        </w:rPr>
        <w:t xml:space="preserve"> </w:t>
      </w:r>
      <w:r w:rsidR="00272AEC" w:rsidRPr="001135B6">
        <w:rPr>
          <w:rFonts w:cstheme="minorHAnsi"/>
        </w:rPr>
        <w:t>or</w:t>
      </w:r>
      <w:r w:rsidR="005F3DDA" w:rsidRPr="001135B6">
        <w:rPr>
          <w:rFonts w:cstheme="minorHAnsi"/>
        </w:rPr>
        <w:t xml:space="preserve"> even </w:t>
      </w:r>
      <w:r w:rsidR="00272AEC" w:rsidRPr="001135B6">
        <w:rPr>
          <w:rFonts w:cstheme="minorHAnsi"/>
        </w:rPr>
        <w:t>combined</w:t>
      </w:r>
      <w:r w:rsidRPr="001135B6">
        <w:rPr>
          <w:rFonts w:cstheme="minorHAnsi"/>
        </w:rPr>
        <w:t xml:space="preserve"> reductions to </w:t>
      </w:r>
      <w:r w:rsidR="00697720" w:rsidRPr="001135B6">
        <w:rPr>
          <w:rFonts w:cstheme="minorHAnsi"/>
        </w:rPr>
        <w:t>β</w:t>
      </w:r>
      <w:r w:rsidR="00697720" w:rsidRPr="001135B6">
        <w:rPr>
          <w:rFonts w:cstheme="minorHAnsi"/>
          <w:vertAlign w:val="subscript"/>
        </w:rPr>
        <w:t>AA</w:t>
      </w:r>
      <w:r w:rsidR="00697720" w:rsidRPr="001135B6">
        <w:rPr>
          <w:rFonts w:cstheme="minorHAnsi"/>
        </w:rPr>
        <w:t xml:space="preserve"> or ζ </w:t>
      </w:r>
      <w:r w:rsidRPr="001135B6">
        <w:rPr>
          <w:rFonts w:cstheme="minorHAnsi"/>
        </w:rPr>
        <w:t>were</w:t>
      </w:r>
      <w:r w:rsidR="005F3DDA" w:rsidRPr="001135B6">
        <w:rPr>
          <w:rFonts w:cstheme="minorHAnsi"/>
        </w:rPr>
        <w:t xml:space="preserve"> unable</w:t>
      </w:r>
      <w:r w:rsidRPr="001135B6">
        <w:rPr>
          <w:rFonts w:cstheme="minorHAnsi"/>
        </w:rPr>
        <w:t xml:space="preserve"> to reduce </w:t>
      </w:r>
      <w:r w:rsidR="00836F29" w:rsidRPr="001135B6">
        <w:rPr>
          <w:rFonts w:cstheme="minorHAnsi"/>
        </w:rPr>
        <w:t>I</w:t>
      </w:r>
      <w:r w:rsidR="00836F29" w:rsidRPr="001135B6">
        <w:rPr>
          <w:rFonts w:cstheme="minorHAnsi"/>
          <w:vertAlign w:val="superscript"/>
        </w:rPr>
        <w:t>*</w:t>
      </w:r>
      <w:r w:rsidR="00836F29" w:rsidRPr="001135B6">
        <w:rPr>
          <w:rFonts w:cstheme="minorHAnsi"/>
          <w:vertAlign w:val="subscript"/>
        </w:rPr>
        <w:t>H</w:t>
      </w:r>
      <w:r w:rsidR="00836F29" w:rsidRPr="001135B6">
        <w:rPr>
          <w:rFonts w:cstheme="minorHAnsi"/>
        </w:rPr>
        <w:t xml:space="preserve"> </w:t>
      </w:r>
      <w:r w:rsidRPr="001135B6">
        <w:rPr>
          <w:rFonts w:cstheme="minorHAnsi"/>
        </w:rPr>
        <w:t xml:space="preserve">below baseline levels across any of the considered case studies. </w:t>
      </w:r>
      <w:r w:rsidR="005F3DDA" w:rsidRPr="001135B6">
        <w:rPr>
          <w:rFonts w:cstheme="minorHAnsi"/>
        </w:rPr>
        <w:t xml:space="preserve">However, </w:t>
      </w:r>
      <w:r w:rsidR="00EF3485" w:rsidRPr="001135B6">
        <w:rPr>
          <w:rFonts w:cstheme="minorHAnsi"/>
        </w:rPr>
        <w:t xml:space="preserve">we note that </w:t>
      </w:r>
      <w:r w:rsidR="00697720" w:rsidRPr="001135B6">
        <w:rPr>
          <w:rFonts w:cstheme="minorHAnsi"/>
        </w:rPr>
        <w:t>reductions</w:t>
      </w:r>
      <w:r w:rsidR="00EF3485" w:rsidRPr="001135B6">
        <w:rPr>
          <w:rFonts w:cstheme="minorHAnsi"/>
        </w:rPr>
        <w:t xml:space="preserve"> to </w:t>
      </w:r>
      <w:r w:rsidR="00697720" w:rsidRPr="001135B6">
        <w:rPr>
          <w:rFonts w:cstheme="minorHAnsi"/>
        </w:rPr>
        <w:t>β</w:t>
      </w:r>
      <w:r w:rsidR="00697720" w:rsidRPr="001135B6">
        <w:rPr>
          <w:rFonts w:cstheme="minorHAnsi"/>
          <w:vertAlign w:val="subscript"/>
        </w:rPr>
        <w:t>AA</w:t>
      </w:r>
      <w:r w:rsidR="00697720" w:rsidRPr="001135B6">
        <w:rPr>
          <w:rFonts w:cstheme="minorHAnsi"/>
        </w:rPr>
        <w:t xml:space="preserve"> </w:t>
      </w:r>
      <w:r w:rsidR="00EF3485" w:rsidRPr="001135B6">
        <w:rPr>
          <w:rFonts w:cstheme="minorHAnsi"/>
        </w:rPr>
        <w:t xml:space="preserve">and </w:t>
      </w:r>
      <w:r w:rsidR="00697720" w:rsidRPr="001135B6">
        <w:rPr>
          <w:rFonts w:cstheme="minorHAnsi"/>
        </w:rPr>
        <w:t xml:space="preserve">ζ </w:t>
      </w:r>
      <w:r w:rsidR="00EF3485" w:rsidRPr="001135B6">
        <w:rPr>
          <w:rFonts w:cstheme="minorHAnsi"/>
        </w:rPr>
        <w:t xml:space="preserve">can reduce the </w:t>
      </w:r>
      <w:r w:rsidR="00EF3485" w:rsidRPr="00737B8B">
        <w:rPr>
          <w:rFonts w:cstheme="minorHAnsi"/>
        </w:rPr>
        <w:t xml:space="preserve">magnitude of </w:t>
      </w:r>
      <w:r w:rsidR="00697720" w:rsidRPr="00737B8B">
        <w:rPr>
          <w:rFonts w:cstheme="minorHAnsi"/>
        </w:rPr>
        <w:t>β</w:t>
      </w:r>
      <w:r w:rsidR="00697720" w:rsidRPr="00737B8B">
        <w:rPr>
          <w:rFonts w:cstheme="minorHAnsi"/>
          <w:vertAlign w:val="subscript"/>
        </w:rPr>
        <w:t>HA</w:t>
      </w:r>
      <w:r w:rsidR="00697720" w:rsidRPr="00737B8B">
        <w:rPr>
          <w:rFonts w:cstheme="minorHAnsi"/>
        </w:rPr>
        <w:t xml:space="preserve"> </w:t>
      </w:r>
      <w:r w:rsidR="00272AEC" w:rsidRPr="00737B8B">
        <w:rPr>
          <w:rFonts w:cstheme="minorHAnsi"/>
        </w:rPr>
        <w:t xml:space="preserve">reductions needed </w:t>
      </w:r>
      <w:r w:rsidR="00EF3485" w:rsidRPr="00737B8B">
        <w:rPr>
          <w:rFonts w:cstheme="minorHAnsi"/>
        </w:rPr>
        <w:t xml:space="preserve">to drive </w:t>
      </w:r>
      <w:r w:rsidR="00836F29" w:rsidRPr="00737B8B">
        <w:rPr>
          <w:rFonts w:cstheme="minorHAnsi"/>
        </w:rPr>
        <w:t>I</w:t>
      </w:r>
      <w:r w:rsidR="00836F29" w:rsidRPr="00737B8B">
        <w:rPr>
          <w:rFonts w:cstheme="minorHAnsi"/>
          <w:vertAlign w:val="superscript"/>
        </w:rPr>
        <w:t>*</w:t>
      </w:r>
      <w:r w:rsidR="00836F29" w:rsidRPr="00737B8B">
        <w:rPr>
          <w:rFonts w:cstheme="minorHAnsi"/>
          <w:vertAlign w:val="subscript"/>
        </w:rPr>
        <w:t>H</w:t>
      </w:r>
      <w:r w:rsidR="00836F29" w:rsidRPr="00737B8B">
        <w:rPr>
          <w:rFonts w:cstheme="minorHAnsi"/>
        </w:rPr>
        <w:t xml:space="preserve"> </w:t>
      </w:r>
      <w:r w:rsidR="00EF3485" w:rsidRPr="00737B8B">
        <w:rPr>
          <w:rFonts w:cstheme="minorHAnsi"/>
        </w:rPr>
        <w:t xml:space="preserve">below baseline </w:t>
      </w:r>
      <w:r w:rsidR="00272AEC" w:rsidRPr="00737B8B">
        <w:rPr>
          <w:rFonts w:cstheme="minorHAnsi"/>
        </w:rPr>
        <w:t xml:space="preserve">levels. This effect is more pronounced when </w:t>
      </w:r>
      <w:r w:rsidR="00697720" w:rsidRPr="00737B8B">
        <w:rPr>
          <w:rFonts w:cstheme="minorHAnsi"/>
        </w:rPr>
        <w:t>β</w:t>
      </w:r>
      <w:r w:rsidR="00697720" w:rsidRPr="00737B8B">
        <w:rPr>
          <w:rFonts w:cstheme="minorHAnsi"/>
          <w:vertAlign w:val="subscript"/>
        </w:rPr>
        <w:t>AA</w:t>
      </w:r>
      <w:r w:rsidR="00697720" w:rsidRPr="00737B8B">
        <w:rPr>
          <w:rFonts w:cstheme="minorHAnsi"/>
        </w:rPr>
        <w:t xml:space="preserve"> or ζ </w:t>
      </w:r>
      <w:r w:rsidR="00272AEC" w:rsidRPr="00737B8B">
        <w:rPr>
          <w:rFonts w:cstheme="minorHAnsi"/>
        </w:rPr>
        <w:t>interventions are combined, with β</w:t>
      </w:r>
      <w:r w:rsidR="00272AEC" w:rsidRPr="00737B8B">
        <w:rPr>
          <w:rFonts w:cstheme="minorHAnsi"/>
          <w:vertAlign w:val="subscript"/>
        </w:rPr>
        <w:t>HA</w:t>
      </w:r>
      <w:r w:rsidR="00272AEC" w:rsidRPr="00737B8B">
        <w:rPr>
          <w:rFonts w:cstheme="minorHAnsi"/>
        </w:rPr>
        <w:t xml:space="preserve"> = </w:t>
      </w:r>
      <w:r w:rsidR="00272AEC" w:rsidRPr="00022E93">
        <w:rPr>
          <w:rFonts w:cstheme="minorHAnsi"/>
          <w:highlight w:val="yellow"/>
        </w:rPr>
        <w:t>3</w:t>
      </w:r>
      <w:r w:rsidR="00272AEC" w:rsidRPr="00737B8B">
        <w:rPr>
          <w:rFonts w:cstheme="minorHAnsi"/>
        </w:rPr>
        <w:t>% and β</w:t>
      </w:r>
      <w:r w:rsidR="00272AEC" w:rsidRPr="00737B8B">
        <w:rPr>
          <w:rFonts w:cstheme="minorHAnsi"/>
          <w:vertAlign w:val="subscript"/>
        </w:rPr>
        <w:t>AA</w:t>
      </w:r>
      <w:r w:rsidR="00272AEC" w:rsidRPr="00737B8B">
        <w:rPr>
          <w:rFonts w:cstheme="minorHAnsi"/>
        </w:rPr>
        <w:t xml:space="preserve">/ζ = </w:t>
      </w:r>
      <w:r w:rsidR="00272AEC" w:rsidRPr="00022E93">
        <w:rPr>
          <w:rFonts w:cstheme="minorHAnsi"/>
          <w:highlight w:val="yellow"/>
        </w:rPr>
        <w:t>14</w:t>
      </w:r>
      <w:r w:rsidR="00272AEC" w:rsidRPr="00737B8B">
        <w:rPr>
          <w:rFonts w:cstheme="minorHAnsi"/>
        </w:rPr>
        <w:t>%, β</w:t>
      </w:r>
      <w:r w:rsidR="00272AEC" w:rsidRPr="00737B8B">
        <w:rPr>
          <w:rFonts w:cstheme="minorHAnsi"/>
          <w:vertAlign w:val="subscript"/>
        </w:rPr>
        <w:t>HA</w:t>
      </w:r>
      <w:r w:rsidR="00272AEC" w:rsidRPr="00737B8B">
        <w:rPr>
          <w:rFonts w:cstheme="minorHAnsi"/>
        </w:rPr>
        <w:t xml:space="preserve"> = </w:t>
      </w:r>
      <w:r w:rsidR="00272AEC" w:rsidRPr="00022E93">
        <w:rPr>
          <w:rFonts w:cstheme="minorHAnsi"/>
          <w:highlight w:val="yellow"/>
        </w:rPr>
        <w:t>18</w:t>
      </w:r>
      <w:r w:rsidR="00272AEC" w:rsidRPr="00737B8B">
        <w:rPr>
          <w:rFonts w:cstheme="minorHAnsi"/>
        </w:rPr>
        <w:t>% and β</w:t>
      </w:r>
      <w:r w:rsidR="00272AEC" w:rsidRPr="00737B8B">
        <w:rPr>
          <w:rFonts w:cstheme="minorHAnsi"/>
          <w:vertAlign w:val="subscript"/>
        </w:rPr>
        <w:t>AA</w:t>
      </w:r>
      <w:r w:rsidR="00272AEC" w:rsidRPr="00737B8B">
        <w:rPr>
          <w:rFonts w:cstheme="minorHAnsi"/>
        </w:rPr>
        <w:t xml:space="preserve">/ζ = </w:t>
      </w:r>
      <w:r w:rsidR="00272AEC" w:rsidRPr="00022E93">
        <w:rPr>
          <w:rFonts w:cstheme="minorHAnsi"/>
          <w:highlight w:val="yellow"/>
        </w:rPr>
        <w:t>25</w:t>
      </w:r>
      <w:r w:rsidR="00272AEC" w:rsidRPr="00737B8B">
        <w:rPr>
          <w:rFonts w:cstheme="minorHAnsi"/>
        </w:rPr>
        <w:t>%, and β</w:t>
      </w:r>
      <w:r w:rsidR="00272AEC" w:rsidRPr="00737B8B">
        <w:rPr>
          <w:rFonts w:cstheme="minorHAnsi"/>
          <w:vertAlign w:val="subscript"/>
        </w:rPr>
        <w:t>HA</w:t>
      </w:r>
      <w:r w:rsidR="00272AEC" w:rsidRPr="00737B8B">
        <w:rPr>
          <w:rFonts w:cstheme="minorHAnsi"/>
        </w:rPr>
        <w:t xml:space="preserve"> = </w:t>
      </w:r>
      <w:r w:rsidR="00272AEC" w:rsidRPr="00022E93">
        <w:rPr>
          <w:rFonts w:cstheme="minorHAnsi"/>
          <w:highlight w:val="yellow"/>
        </w:rPr>
        <w:t>16</w:t>
      </w:r>
      <w:r w:rsidR="00272AEC" w:rsidRPr="00737B8B">
        <w:rPr>
          <w:rFonts w:cstheme="minorHAnsi"/>
        </w:rPr>
        <w:t>% and β</w:t>
      </w:r>
      <w:r w:rsidR="00272AEC" w:rsidRPr="00737B8B">
        <w:rPr>
          <w:rFonts w:cstheme="minorHAnsi"/>
          <w:vertAlign w:val="subscript"/>
        </w:rPr>
        <w:t>AA</w:t>
      </w:r>
      <w:r w:rsidR="00272AEC" w:rsidRPr="00737B8B">
        <w:rPr>
          <w:rFonts w:cstheme="minorHAnsi"/>
        </w:rPr>
        <w:t xml:space="preserve">/ζ </w:t>
      </w:r>
      <w:r w:rsidR="00272AEC" w:rsidRPr="00022E93">
        <w:rPr>
          <w:rFonts w:cstheme="minorHAnsi"/>
          <w:highlight w:val="yellow"/>
        </w:rPr>
        <w:t>= 24</w:t>
      </w:r>
      <w:r w:rsidR="00272AEC" w:rsidRPr="00737B8B">
        <w:rPr>
          <w:rFonts w:cstheme="minorHAnsi"/>
        </w:rPr>
        <w:t xml:space="preserve">% for the tetracycline-pigs/tetracycline-broiler/ampicillin case studies. This </w:t>
      </w:r>
      <w:r w:rsidR="00836F29" w:rsidRPr="00737B8B">
        <w:rPr>
          <w:rFonts w:cstheme="minorHAnsi"/>
        </w:rPr>
        <w:t xml:space="preserve">is </w:t>
      </w:r>
      <w:r w:rsidR="00272AEC" w:rsidRPr="00737B8B">
        <w:rPr>
          <w:rFonts w:cstheme="minorHAnsi"/>
        </w:rPr>
        <w:t xml:space="preserve">considered in the context of an intervention which requires the </w:t>
      </w:r>
      <w:r w:rsidR="00836F29" w:rsidRPr="00737B8B">
        <w:rPr>
          <w:rFonts w:cstheme="minorHAnsi"/>
        </w:rPr>
        <w:t xml:space="preserve">lowest </w:t>
      </w:r>
      <w:r w:rsidR="00697720" w:rsidRPr="00737B8B">
        <w:rPr>
          <w:rFonts w:cstheme="minorHAnsi"/>
        </w:rPr>
        <w:t>reduction to β</w:t>
      </w:r>
      <w:r w:rsidR="00697720" w:rsidRPr="00737B8B">
        <w:rPr>
          <w:rFonts w:cstheme="minorHAnsi"/>
          <w:vertAlign w:val="subscript"/>
        </w:rPr>
        <w:t>HA</w:t>
      </w:r>
      <w:r w:rsidR="00697720" w:rsidRPr="00737B8B">
        <w:rPr>
          <w:rFonts w:cstheme="minorHAnsi"/>
        </w:rPr>
        <w:t xml:space="preserve"> to drive </w:t>
      </w:r>
      <w:r w:rsidR="00836F29" w:rsidRPr="00737B8B">
        <w:rPr>
          <w:rFonts w:cstheme="minorHAnsi"/>
        </w:rPr>
        <w:t>I</w:t>
      </w:r>
      <w:r w:rsidR="00836F29" w:rsidRPr="00737B8B">
        <w:rPr>
          <w:rFonts w:cstheme="minorHAnsi"/>
          <w:vertAlign w:val="superscript"/>
        </w:rPr>
        <w:t>*</w:t>
      </w:r>
      <w:r w:rsidR="00836F29" w:rsidRPr="00737B8B">
        <w:rPr>
          <w:rFonts w:cstheme="minorHAnsi"/>
          <w:vertAlign w:val="subscript"/>
        </w:rPr>
        <w:t>H</w:t>
      </w:r>
      <w:r w:rsidR="00836F29" w:rsidRPr="00737B8B">
        <w:rPr>
          <w:rFonts w:cstheme="minorHAnsi"/>
        </w:rPr>
        <w:t xml:space="preserve"> </w:t>
      </w:r>
      <w:r w:rsidR="00697720" w:rsidRPr="00737B8B">
        <w:rPr>
          <w:rFonts w:cstheme="minorHAnsi"/>
        </w:rPr>
        <w:t>below baseline levels.</w:t>
      </w:r>
      <w:r w:rsidR="00697720" w:rsidRPr="00D67AE7">
        <w:rPr>
          <w:rFonts w:cstheme="minorHAnsi"/>
        </w:rPr>
        <w:t xml:space="preserve"> </w:t>
      </w:r>
    </w:p>
    <w:p w14:paraId="38983A40" w14:textId="77777777" w:rsidR="00697720" w:rsidRPr="00D67AE7" w:rsidRDefault="00697720" w:rsidP="008D5DB0">
      <w:pPr>
        <w:pStyle w:val="NoSpacing"/>
        <w:spacing w:line="360" w:lineRule="auto"/>
        <w:jc w:val="both"/>
        <w:rPr>
          <w:rFonts w:cstheme="minorHAnsi"/>
          <w:b/>
          <w:bCs/>
        </w:rPr>
      </w:pP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F90F53A" w14:textId="271CACE2" w:rsidR="00737B8B" w:rsidRDefault="00737B8B" w:rsidP="008D5DB0">
      <w:pPr>
        <w:pStyle w:val="NoSpacing"/>
      </w:pPr>
    </w:p>
    <w:p w14:paraId="1221196B" w14:textId="1AD8E402" w:rsidR="00737B8B" w:rsidRDefault="00737B8B"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5B83B065" w:rsidR="00737B8B" w:rsidRDefault="00737B8B" w:rsidP="008D5DB0">
      <w:pPr>
        <w:pStyle w:val="NoSpacing"/>
      </w:pPr>
    </w:p>
    <w:p w14:paraId="6613028F" w14:textId="0256090F" w:rsidR="00737B8B" w:rsidRDefault="00737B8B" w:rsidP="008D5DB0">
      <w:pPr>
        <w:pStyle w:val="NoSpacing"/>
      </w:pPr>
    </w:p>
    <w:p w14:paraId="39A64783" w14:textId="3B1235DF" w:rsidR="00737B8B" w:rsidRDefault="00737B8B" w:rsidP="008D5DB0">
      <w:pPr>
        <w:pStyle w:val="NoSpacing"/>
      </w:pPr>
    </w:p>
    <w:p w14:paraId="44A98F38" w14:textId="37E81DB4" w:rsidR="00737B8B" w:rsidRDefault="00737B8B" w:rsidP="008D5DB0">
      <w:pPr>
        <w:pStyle w:val="NoSpacing"/>
      </w:pPr>
    </w:p>
    <w:p w14:paraId="5EC84B5F" w14:textId="77777777" w:rsidR="00737B8B" w:rsidRDefault="00737B8B" w:rsidP="008D5DB0">
      <w:pPr>
        <w:pStyle w:val="NoSpacing"/>
      </w:pPr>
    </w:p>
    <w:p w14:paraId="2A64DE7D" w14:textId="7AB83913" w:rsidR="00400728" w:rsidRDefault="00400728" w:rsidP="008D5DB0">
      <w:pPr>
        <w:pStyle w:val="NoSpacing"/>
      </w:pPr>
    </w:p>
    <w:p w14:paraId="08727BAD" w14:textId="2AFF535F" w:rsidR="00400728" w:rsidRDefault="00400728" w:rsidP="008D5DB0">
      <w:pPr>
        <w:pStyle w:val="NoSpacing"/>
      </w:pPr>
    </w:p>
    <w:p w14:paraId="0E1E5542" w14:textId="2273B5F6" w:rsidR="008D5DB0" w:rsidRPr="00D67AE7" w:rsidRDefault="008D5DB0" w:rsidP="00D67AE7">
      <w:pPr>
        <w:pStyle w:val="NoSpacing"/>
        <w:spacing w:line="360" w:lineRule="auto"/>
        <w:jc w:val="center"/>
        <w:rPr>
          <w:rFonts w:cstheme="minorHAnsi"/>
          <w:b/>
          <w:u w:val="single"/>
        </w:rPr>
      </w:pPr>
      <w:r>
        <w:rPr>
          <w:rFonts w:cstheme="minorHAnsi"/>
          <w:b/>
          <w:u w:val="single"/>
        </w:rPr>
        <w:lastRenderedPageBreak/>
        <w:t>DISCUSSION</w:t>
      </w:r>
    </w:p>
    <w:p w14:paraId="643C4F92" w14:textId="78C59237" w:rsidR="005307C0" w:rsidRPr="00D67AE7" w:rsidRDefault="005307C0" w:rsidP="008D5DB0">
      <w:pPr>
        <w:pStyle w:val="NoSpacing"/>
        <w:spacing w:line="360" w:lineRule="auto"/>
        <w:jc w:val="both"/>
        <w:rPr>
          <w:rFonts w:cstheme="minorHAnsi"/>
        </w:rPr>
      </w:pPr>
    </w:p>
    <w:p w14:paraId="3272E23F" w14:textId="1D502EC6" w:rsidR="00D53369" w:rsidRPr="00D67AE7" w:rsidRDefault="00D96CB1" w:rsidP="008D5DB0">
      <w:pPr>
        <w:pStyle w:val="NoSpacing"/>
        <w:spacing w:line="360" w:lineRule="auto"/>
        <w:jc w:val="both"/>
        <w:rPr>
          <w:rFonts w:cstheme="minorHAnsi"/>
        </w:rPr>
      </w:pPr>
      <w:r>
        <w:rPr>
          <w:rFonts w:cstheme="minorHAnsi"/>
        </w:rPr>
        <w:t>A</w:t>
      </w:r>
      <w:r w:rsidR="00FB60F6" w:rsidRPr="00B87C52">
        <w:rPr>
          <w:rFonts w:cstheme="minorHAnsi"/>
        </w:rPr>
        <w:t xml:space="preserve"> deterministic compartmental model</w:t>
      </w:r>
      <w:r>
        <w:rPr>
          <w:rFonts w:cstheme="minorHAnsi"/>
        </w:rPr>
        <w:t xml:space="preserve"> was used to identify </w:t>
      </w:r>
      <w:r w:rsidRPr="00B87C52">
        <w:rPr>
          <w:rFonts w:cstheme="minorHAnsi"/>
        </w:rPr>
        <w:t>increases in non-typhoidal human salmonellosis aswell as decreases in the proportion of resistant human salmonellosis</w:t>
      </w:r>
      <w:r>
        <w:rPr>
          <w:rFonts w:cstheme="minorHAnsi"/>
        </w:rPr>
        <w:t xml:space="preserve"> following</w:t>
      </w:r>
      <w:r w:rsidR="00FB60F6" w:rsidRPr="00B87C52">
        <w:rPr>
          <w:rFonts w:cstheme="minorHAnsi"/>
        </w:rPr>
        <w:t xml:space="preserve"> livestock antibiotic curtailment. T</w:t>
      </w:r>
      <w:r w:rsidR="00B16CB4" w:rsidRPr="00B87C52">
        <w:rPr>
          <w:rFonts w:cstheme="minorHAnsi"/>
        </w:rPr>
        <w:t xml:space="preserve">his was explored across tetracycline-resistant salmonella in fattening pigs, ampicillin-resistant salmonella in fattening pigs and tetracycline-resistant salmonella in broiler poultry case studies. Interventions to target animal-to-human, and to a lesser extent, animal-to-animal </w:t>
      </w:r>
      <w:r w:rsidR="00932245" w:rsidRPr="00B87C52">
        <w:rPr>
          <w:rFonts w:cstheme="minorHAnsi"/>
        </w:rPr>
        <w:t>transmission,</w:t>
      </w:r>
      <w:r w:rsidR="00B16CB4" w:rsidRPr="00B87C52">
        <w:rPr>
          <w:rFonts w:cstheme="minorHAnsi"/>
        </w:rPr>
        <w:t xml:space="preserve"> and background rate of transmission to </w:t>
      </w:r>
      <w:r w:rsidR="00D67AE7" w:rsidRPr="00B87C52">
        <w:rPr>
          <w:rFonts w:cstheme="minorHAnsi"/>
        </w:rPr>
        <w:t>animals</w:t>
      </w:r>
      <w:r w:rsidR="00B16CB4" w:rsidRPr="00B87C52">
        <w:rPr>
          <w:rFonts w:cstheme="minorHAnsi"/>
        </w:rPr>
        <w:t>, were found to mitigate the potential increases in human salmonellosis following livestock antibiotic curtailment.</w:t>
      </w:r>
      <w:r w:rsidR="00B16CB4" w:rsidRPr="00D67AE7">
        <w:rPr>
          <w:rFonts w:cstheme="minorHAnsi"/>
        </w:rPr>
        <w:t xml:space="preserve"> </w:t>
      </w:r>
    </w:p>
    <w:p w14:paraId="3358C632" w14:textId="3D0E6ABE" w:rsidR="00AB5FD4" w:rsidRDefault="00B16CB4" w:rsidP="008D5DB0">
      <w:pPr>
        <w:pStyle w:val="NoSpacing"/>
        <w:spacing w:line="360" w:lineRule="auto"/>
        <w:jc w:val="both"/>
        <w:rPr>
          <w:rFonts w:cstheme="minorHAnsi"/>
        </w:rPr>
      </w:pPr>
      <w:r w:rsidRPr="00D67AE7">
        <w:rPr>
          <w:rFonts w:cstheme="minorHAnsi"/>
        </w:rPr>
        <w:t xml:space="preserve">  </w:t>
      </w:r>
    </w:p>
    <w:p w14:paraId="4582B8DF" w14:textId="6FAD7CA9" w:rsidR="00AB5FD4" w:rsidRPr="00D67AE7" w:rsidRDefault="00AB5FD4" w:rsidP="00AB5FD4">
      <w:pPr>
        <w:pStyle w:val="NoSpacing"/>
        <w:spacing w:line="360" w:lineRule="auto"/>
        <w:jc w:val="both"/>
        <w:rPr>
          <w:rFonts w:cstheme="minorHAnsi"/>
        </w:rPr>
      </w:pPr>
      <w:r w:rsidRPr="00D67AE7">
        <w:rPr>
          <w:rFonts w:cstheme="minorHAnsi"/>
        </w:rPr>
        <w:t>It is possible that ongoing</w:t>
      </w:r>
      <w:r>
        <w:rPr>
          <w:rFonts w:cstheme="minorHAnsi"/>
        </w:rPr>
        <w:t xml:space="preserve"> efforts to ensure</w:t>
      </w:r>
      <w:r w:rsidRPr="00D67AE7">
        <w:rPr>
          <w:rFonts w:cstheme="minorHAnsi"/>
        </w:rPr>
        <w:t xml:space="preserve"> </w:t>
      </w:r>
      <w:r>
        <w:rPr>
          <w:rFonts w:cstheme="minorHAnsi"/>
        </w:rPr>
        <w:t xml:space="preserve">farm-level and post-harvest biosecurity </w:t>
      </w:r>
      <w:r w:rsidRPr="00D67AE7">
        <w:rPr>
          <w:rFonts w:cstheme="minorHAnsi"/>
        </w:rPr>
        <w:t>have already had tangible impact</w:t>
      </w:r>
      <w:r>
        <w:rPr>
          <w:rFonts w:cstheme="minorHAnsi"/>
        </w:rPr>
        <w:t>s</w:t>
      </w:r>
      <w:r w:rsidRPr="00D67AE7">
        <w:rPr>
          <w:rFonts w:cstheme="minorHAnsi"/>
        </w:rPr>
        <w:t xml:space="preserve"> on reducing β</w:t>
      </w:r>
      <w:r w:rsidRPr="00D67AE7">
        <w:rPr>
          <w:rFonts w:cstheme="minorHAnsi"/>
          <w:vertAlign w:val="subscript"/>
        </w:rPr>
        <w:t>HA</w:t>
      </w:r>
      <w:r w:rsidRPr="00D67AE7">
        <w:rPr>
          <w:rFonts w:cstheme="minorHAnsi"/>
        </w:rPr>
        <w:t>, β</w:t>
      </w:r>
      <w:r w:rsidRPr="00D67AE7">
        <w:rPr>
          <w:rFonts w:cstheme="minorHAnsi"/>
          <w:vertAlign w:val="subscript"/>
        </w:rPr>
        <w:t>AA</w:t>
      </w:r>
      <w:r w:rsidRPr="00D67AE7">
        <w:rPr>
          <w:rFonts w:cstheme="minorHAnsi"/>
        </w:rPr>
        <w:t xml:space="preserve"> and ζ</w:t>
      </w:r>
      <w:r>
        <w:rPr>
          <w:rFonts w:cstheme="minorHAnsi"/>
        </w:rPr>
        <w:t xml:space="preserve">. </w:t>
      </w:r>
      <w:r w:rsidRPr="00D67AE7">
        <w:rPr>
          <w:rFonts w:cstheme="minorHAnsi"/>
        </w:rPr>
        <w:t>These efforts include a greater awareness from agricultural/farm workers to provision clean feed, maintain clean livestock environs</w:t>
      </w:r>
      <w:r>
        <w:rPr>
          <w:rFonts w:cstheme="minorHAnsi"/>
        </w:rPr>
        <w:t xml:space="preserve">, </w:t>
      </w:r>
      <w:r w:rsidRPr="00D67AE7">
        <w:rPr>
          <w:rFonts w:cstheme="minorHAnsi"/>
        </w:rPr>
        <w:t xml:space="preserve">prevent livestock overcrowding, reduce microbial contamination on carcasses, as well as comprehensive public information campaigns to promote </w:t>
      </w:r>
      <w:r>
        <w:rPr>
          <w:rFonts w:cstheme="minorHAnsi"/>
        </w:rPr>
        <w:t xml:space="preserve">safe handling of food products </w:t>
      </w:r>
      <w:r w:rsidRPr="00D67AE7">
        <w:t>(</w:t>
      </w:r>
      <w:r w:rsidRPr="00D67AE7">
        <w:rPr>
          <w:b/>
          <w:bCs/>
          <w:highlight w:val="yellow"/>
        </w:rPr>
        <w:t>CITE</w:t>
      </w:r>
      <w:r w:rsidRPr="00D67AE7">
        <w:t>)</w:t>
      </w:r>
      <w:r w:rsidRPr="00D67AE7">
        <w:rPr>
          <w:rFonts w:cstheme="minorHAnsi"/>
        </w:rPr>
        <w:t>.</w:t>
      </w:r>
      <w:r>
        <w:rPr>
          <w:rFonts w:cstheme="minorHAnsi"/>
        </w:rPr>
        <w:t xml:space="preserve"> Although the exact contribution of these interventions on transmission have yet to be quantified, current </w:t>
      </w:r>
      <w:r w:rsidRPr="00D67AE7">
        <w:rPr>
          <w:rFonts w:cstheme="minorHAnsi"/>
        </w:rPr>
        <w:t xml:space="preserve">efforts to </w:t>
      </w:r>
      <w:r>
        <w:rPr>
          <w:rFonts w:cstheme="minorHAnsi"/>
        </w:rPr>
        <w:t>increase</w:t>
      </w:r>
      <w:r w:rsidRPr="00D67AE7">
        <w:rPr>
          <w:rFonts w:cstheme="minorHAnsi"/>
        </w:rPr>
        <w:t xml:space="preserve"> livestock wellbeing, agricultural biosecurity and farm-to-fork food safety </w:t>
      </w:r>
      <w:r w:rsidR="00857445">
        <w:rPr>
          <w:rFonts w:cstheme="minorHAnsi"/>
        </w:rPr>
        <w:t xml:space="preserve">are likely to be </w:t>
      </w:r>
      <w:r w:rsidR="0045009A">
        <w:rPr>
          <w:rFonts w:cstheme="minorHAnsi"/>
        </w:rPr>
        <w:t>having an ongoing impact on</w:t>
      </w:r>
      <w:r>
        <w:rPr>
          <w:rFonts w:cstheme="minorHAnsi"/>
        </w:rPr>
        <w:t xml:space="preserve"> preventi</w:t>
      </w:r>
      <w:r w:rsidR="0045009A">
        <w:rPr>
          <w:rFonts w:cstheme="minorHAnsi"/>
        </w:rPr>
        <w:t xml:space="preserve">ng </w:t>
      </w:r>
      <w:r>
        <w:rPr>
          <w:rFonts w:cstheme="minorHAnsi"/>
        </w:rPr>
        <w:t>increases in human foodborne disease resulting from</w:t>
      </w:r>
      <w:r w:rsidRPr="00D67AE7">
        <w:rPr>
          <w:rFonts w:cstheme="minorHAnsi"/>
        </w:rPr>
        <w:t xml:space="preserve"> </w:t>
      </w:r>
      <w:r w:rsidR="0045009A">
        <w:rPr>
          <w:rFonts w:cstheme="minorHAnsi"/>
        </w:rPr>
        <w:t xml:space="preserve">current </w:t>
      </w:r>
      <w:r w:rsidRPr="00D67AE7">
        <w:rPr>
          <w:rFonts w:cstheme="minorHAnsi"/>
        </w:rPr>
        <w:t xml:space="preserve">livestock antibiotic stewardship interventions.  </w:t>
      </w:r>
    </w:p>
    <w:p w14:paraId="3A56DD59" w14:textId="77777777" w:rsidR="00AB5FD4" w:rsidRDefault="00AB5FD4" w:rsidP="00690355">
      <w:pPr>
        <w:pStyle w:val="NoSpacing"/>
        <w:spacing w:line="360" w:lineRule="auto"/>
        <w:jc w:val="both"/>
        <w:rPr>
          <w:rFonts w:cstheme="minorHAnsi"/>
        </w:rPr>
      </w:pPr>
    </w:p>
    <w:p w14:paraId="3C5E3B73" w14:textId="5C2CD38A" w:rsidR="00557F17" w:rsidRPr="00D67AE7" w:rsidRDefault="00AB5FD4" w:rsidP="00690355">
      <w:pPr>
        <w:pStyle w:val="NoSpacing"/>
        <w:spacing w:line="360" w:lineRule="auto"/>
        <w:jc w:val="both"/>
        <w:rPr>
          <w:rFonts w:cstheme="minorHAnsi"/>
        </w:rPr>
      </w:pPr>
      <w:r>
        <w:rPr>
          <w:rFonts w:cstheme="minorHAnsi"/>
        </w:rPr>
        <w:t>T</w:t>
      </w:r>
      <w:r w:rsidR="008D5DB0" w:rsidRPr="00D67AE7">
        <w:rPr>
          <w:rFonts w:cstheme="minorHAnsi"/>
        </w:rPr>
        <w:t xml:space="preserve">he ability to completely mitigate the negative consequences of livestock antibiotic curtailment in the scenario-specific examples implemented in this </w:t>
      </w:r>
      <w:r w:rsidR="008D5DB0" w:rsidRPr="001135B6">
        <w:rPr>
          <w:rFonts w:cstheme="minorHAnsi"/>
        </w:rPr>
        <w:t>study (Figure 5),</w:t>
      </w:r>
      <w:r w:rsidR="008D5DB0" w:rsidRPr="00D67AE7">
        <w:rPr>
          <w:rFonts w:cstheme="minorHAnsi"/>
        </w:rPr>
        <w:t xml:space="preserve"> </w:t>
      </w:r>
      <w:r>
        <w:rPr>
          <w:rFonts w:cstheme="minorHAnsi"/>
        </w:rPr>
        <w:t xml:space="preserve">also </w:t>
      </w:r>
      <w:r w:rsidR="008D5DB0" w:rsidRPr="00D67AE7">
        <w:rPr>
          <w:rFonts w:cstheme="minorHAnsi"/>
        </w:rPr>
        <w:t xml:space="preserve">suggests that in certain cases, there </w:t>
      </w:r>
      <w:r w:rsidR="00690355" w:rsidRPr="00D67AE7">
        <w:rPr>
          <w:rFonts w:cstheme="minorHAnsi"/>
        </w:rPr>
        <w:t>may</w:t>
      </w:r>
      <w:r w:rsidR="008D5DB0" w:rsidRPr="00D67AE7">
        <w:rPr>
          <w:rFonts w:cstheme="minorHAnsi"/>
        </w:rPr>
        <w:t xml:space="preserve"> </w:t>
      </w:r>
      <w:r w:rsidR="00690355" w:rsidRPr="00D67AE7">
        <w:rPr>
          <w:rFonts w:cstheme="minorHAnsi"/>
        </w:rPr>
        <w:t xml:space="preserve">be the potential for improved biosecurity/farm practices to replace livestock antibiotics as an alternative to ensure livestock </w:t>
      </w:r>
      <w:r w:rsidR="00B16CB4" w:rsidRPr="00D67AE7">
        <w:rPr>
          <w:rFonts w:cstheme="minorHAnsi"/>
        </w:rPr>
        <w:t>and prevent livestock diseases</w:t>
      </w:r>
      <w:r w:rsidR="00886449" w:rsidRPr="00D67AE7">
        <w:rPr>
          <w:rFonts w:cstheme="minorHAnsi"/>
        </w:rPr>
        <w:t xml:space="preserve"> </w:t>
      </w:r>
      <w:r w:rsidR="00886449" w:rsidRPr="00D67AE7">
        <w:t>(</w:t>
      </w:r>
      <w:r w:rsidR="00886449" w:rsidRPr="00D67AE7">
        <w:rPr>
          <w:b/>
          <w:bCs/>
          <w:highlight w:val="yellow"/>
        </w:rPr>
        <w:t>CITE</w:t>
      </w:r>
      <w:r w:rsidR="00B6390A">
        <w:rPr>
          <w:b/>
          <w:bCs/>
        </w:rPr>
        <w:t xml:space="preserve"> – 3Rs</w:t>
      </w:r>
      <w:r w:rsidR="00886449" w:rsidRPr="00D67AE7">
        <w:t>)</w:t>
      </w:r>
      <w:r w:rsidR="008D5DB0" w:rsidRPr="00D67AE7">
        <w:rPr>
          <w:rFonts w:cstheme="minorHAnsi"/>
        </w:rPr>
        <w:t xml:space="preserve">. However, further research is required to quantify the efficacy of these interventions on the specified transmission routes </w:t>
      </w:r>
      <w:r w:rsidR="00CD09DF" w:rsidRPr="00D67AE7">
        <w:t>(</w:t>
      </w:r>
      <w:r w:rsidR="00CD09DF" w:rsidRPr="00D67AE7">
        <w:rPr>
          <w:b/>
          <w:bCs/>
          <w:highlight w:val="yellow"/>
        </w:rPr>
        <w:t>CITE</w:t>
      </w:r>
      <w:r w:rsidR="00CD09DF" w:rsidRPr="00D67AE7">
        <w:t>)</w:t>
      </w:r>
      <w:r w:rsidR="008D5DB0" w:rsidRPr="00D67AE7">
        <w:rPr>
          <w:rFonts w:cstheme="minorHAnsi"/>
        </w:rPr>
        <w:t xml:space="preserve">. </w:t>
      </w:r>
    </w:p>
    <w:p w14:paraId="73F37A9D" w14:textId="5EB3D74A" w:rsidR="00F7482A" w:rsidRPr="00D67AE7" w:rsidRDefault="00F7482A" w:rsidP="008D5DB0">
      <w:pPr>
        <w:pStyle w:val="NoSpacing"/>
        <w:spacing w:line="360" w:lineRule="auto"/>
        <w:jc w:val="both"/>
        <w:rPr>
          <w:rFonts w:cstheme="minorHAnsi"/>
        </w:rPr>
      </w:pPr>
    </w:p>
    <w:p w14:paraId="34378BE5" w14:textId="5D11A7A2" w:rsidR="008D5DB0" w:rsidRDefault="008D5DB0" w:rsidP="008D5DB0">
      <w:pPr>
        <w:pStyle w:val="NoSpacing"/>
        <w:spacing w:line="360" w:lineRule="auto"/>
        <w:jc w:val="both"/>
        <w:rPr>
          <w:rFonts w:cstheme="minorHAnsi"/>
        </w:rPr>
      </w:pPr>
      <w:r w:rsidRPr="00D67AE7">
        <w:rPr>
          <w:rFonts w:cstheme="minorHAnsi"/>
        </w:rPr>
        <w:t>Despite the importance of lowering the rate of natural human recovery from foodborne illness (</w:t>
      </w:r>
      <w:proofErr w:type="spellStart"/>
      <w:r w:rsidRPr="00D67AE7">
        <w:rPr>
          <w:rFonts w:cstheme="minorHAnsi"/>
        </w:rPr>
        <w:t>r</w:t>
      </w:r>
      <w:r w:rsidRPr="00D67AE7">
        <w:rPr>
          <w:rFonts w:cstheme="minorHAnsi"/>
          <w:vertAlign w:val="subscript"/>
        </w:rPr>
        <w:t>H</w:t>
      </w:r>
      <w:proofErr w:type="spellEnd"/>
      <w:r w:rsidRPr="00D67AE7">
        <w:rPr>
          <w:rFonts w:cstheme="minorHAnsi"/>
        </w:rPr>
        <w:t xml:space="preserve">) on preventing adverse increases in human foodborne disease </w:t>
      </w:r>
      <w:r w:rsidRPr="001135B6">
        <w:rPr>
          <w:rFonts w:cstheme="minorHAnsi"/>
        </w:rPr>
        <w:t>(Figure 5 and Figure S</w:t>
      </w:r>
      <w:r w:rsidR="001135B6" w:rsidRPr="001135B6">
        <w:rPr>
          <w:rFonts w:cstheme="minorHAnsi"/>
        </w:rPr>
        <w:t>6</w:t>
      </w:r>
      <w:r w:rsidRPr="001135B6">
        <w:rPr>
          <w:rFonts w:cstheme="minorHAnsi"/>
        </w:rPr>
        <w:t>),</w:t>
      </w:r>
      <w:r w:rsidRPr="00D67AE7">
        <w:rPr>
          <w:rFonts w:cstheme="minorHAnsi"/>
        </w:rPr>
        <w:t xml:space="preserve"> the parameter was not considered alterable through human means and therefore excluded from the exploratory analysis. Specifically, increases to </w:t>
      </w:r>
      <w:proofErr w:type="spellStart"/>
      <w:r w:rsidRPr="00D67AE7">
        <w:rPr>
          <w:rFonts w:cstheme="minorHAnsi"/>
        </w:rPr>
        <w:t>r</w:t>
      </w:r>
      <w:r w:rsidRPr="00D67AE7">
        <w:rPr>
          <w:rFonts w:cstheme="minorHAnsi"/>
          <w:vertAlign w:val="subscript"/>
        </w:rPr>
        <w:t>H</w:t>
      </w:r>
      <w:proofErr w:type="spellEnd"/>
      <w:r w:rsidRPr="00D67AE7">
        <w:rPr>
          <w:rFonts w:cstheme="minorHAnsi"/>
        </w:rPr>
        <w:t xml:space="preserve"> are difficult due to the poor efficacy of treatment to reduce human infection length with foodborne pathogens and due to the already short and relatively low severity of human foodborne illness in </w:t>
      </w:r>
      <w:r w:rsidR="00AB5FD4" w:rsidRPr="00D67AE7">
        <w:rPr>
          <w:rFonts w:cstheme="minorHAnsi"/>
        </w:rPr>
        <w:t>many</w:t>
      </w:r>
      <w:r w:rsidRPr="00D67AE7">
        <w:rPr>
          <w:rFonts w:cstheme="minorHAnsi"/>
        </w:rPr>
        <w:t xml:space="preserve"> cases </w:t>
      </w:r>
      <w:r w:rsidR="00886449" w:rsidRPr="00D67AE7">
        <w:t>(</w:t>
      </w:r>
      <w:r w:rsidR="00886449" w:rsidRPr="00D67AE7">
        <w:rPr>
          <w:b/>
          <w:bCs/>
          <w:highlight w:val="yellow"/>
        </w:rPr>
        <w:t>CITE</w:t>
      </w:r>
      <w:r w:rsidR="00886449" w:rsidRPr="00D67AE7">
        <w:t>)</w:t>
      </w:r>
      <w:r w:rsidRPr="00D67AE7">
        <w:rPr>
          <w:rFonts w:cstheme="minorHAnsi"/>
        </w:rPr>
        <w:t xml:space="preserve">. </w:t>
      </w:r>
    </w:p>
    <w:p w14:paraId="20F852F9" w14:textId="7193CFF4" w:rsidR="00AA5EAF" w:rsidRDefault="00AA5EAF" w:rsidP="008D5DB0">
      <w:pPr>
        <w:pStyle w:val="NoSpacing"/>
        <w:spacing w:line="360" w:lineRule="auto"/>
        <w:jc w:val="both"/>
        <w:rPr>
          <w:rFonts w:cstheme="minorHAnsi"/>
        </w:rPr>
      </w:pPr>
    </w:p>
    <w:p w14:paraId="13A8DBA7" w14:textId="735D0FE8" w:rsidR="00AA5EAF" w:rsidRDefault="00AA5EAF" w:rsidP="00AA5EAF">
      <w:pPr>
        <w:pStyle w:val="NoSpacing"/>
        <w:spacing w:line="360" w:lineRule="auto"/>
        <w:jc w:val="both"/>
        <w:rPr>
          <w:rFonts w:cstheme="minorHAnsi"/>
        </w:rPr>
      </w:pPr>
      <w:r w:rsidRPr="00D67AE7">
        <w:rPr>
          <w:rFonts w:cstheme="minorHAnsi"/>
        </w:rPr>
        <w:lastRenderedPageBreak/>
        <w:t xml:space="preserve">We note that there is currently no consensus in AMR literature regarding the definitive impact of antibiotic withdrawal, with this increase in foodborne disease in humans recognised in AMR literature as a hypothetical “worst case scenario” following antibiotic stewardship </w:t>
      </w:r>
      <w:r w:rsidR="00C32C79">
        <w:rPr>
          <w:rFonts w:cstheme="minorHAnsi"/>
        </w:rPr>
        <w:t>(</w:t>
      </w:r>
      <w:r w:rsidR="00C32C79" w:rsidRPr="00C32C79">
        <w:rPr>
          <w:rFonts w:cstheme="minorHAnsi"/>
          <w:b/>
          <w:bCs/>
          <w:highlight w:val="yellow"/>
        </w:rPr>
        <w:t>CITE</w:t>
      </w:r>
      <w:r w:rsidR="00C32C79">
        <w:rPr>
          <w:rFonts w:cstheme="minorHAnsi"/>
        </w:rPr>
        <w:t>)</w:t>
      </w:r>
      <w:r w:rsidRPr="00D67AE7">
        <w:rPr>
          <w:rFonts w:cstheme="minorHAnsi"/>
        </w:rPr>
        <w:t xml:space="preserve">. However, by identifying that moderate strength biosecurity interventions are sufficient to control any detrimental human health effects following curtailment, if this “worst case scenario” is a reality, it is likely that the effects of this scenario could be mitigated. </w:t>
      </w:r>
    </w:p>
    <w:p w14:paraId="3657726A" w14:textId="77777777" w:rsidR="008D5DB0" w:rsidRPr="00D67AE7" w:rsidRDefault="008D5DB0" w:rsidP="008D5DB0">
      <w:pPr>
        <w:pStyle w:val="NoSpacing"/>
        <w:spacing w:line="360" w:lineRule="auto"/>
        <w:jc w:val="both"/>
        <w:rPr>
          <w:rFonts w:cstheme="minorHAnsi"/>
        </w:rPr>
      </w:pPr>
    </w:p>
    <w:p w14:paraId="7B3CF492" w14:textId="40F7ED97" w:rsidR="004A5620" w:rsidRPr="00D67AE7" w:rsidRDefault="008D5DB0" w:rsidP="008D5DB0">
      <w:pPr>
        <w:pStyle w:val="NoSpacing"/>
        <w:spacing w:line="360" w:lineRule="auto"/>
        <w:jc w:val="both"/>
        <w:rPr>
          <w:rFonts w:cstheme="minorHAnsi"/>
        </w:rPr>
      </w:pPr>
      <w:r w:rsidRPr="00D67AE7">
        <w:rPr>
          <w:rFonts w:cstheme="minorHAnsi"/>
        </w:rPr>
        <w:t>We note that the key determinant of the increases in human foodborne disease following livestock antibiotic curtailment is the extent of antibiotic-mediated livestock recovery</w:t>
      </w:r>
      <w:r w:rsidR="00AB2E5C" w:rsidRPr="00D67AE7">
        <w:rPr>
          <w:rFonts w:cstheme="minorHAnsi"/>
        </w:rPr>
        <w:t xml:space="preserve"> and transmission-related fitness costs</w:t>
      </w:r>
      <w:r w:rsidR="0045009A">
        <w:rPr>
          <w:rFonts w:cstheme="minorHAnsi"/>
        </w:rPr>
        <w:t xml:space="preserve"> (κ and α)</w:t>
      </w:r>
      <w:r w:rsidRPr="00D67AE7">
        <w:rPr>
          <w:rFonts w:cstheme="minorHAnsi"/>
        </w:rPr>
        <w:t>. As an illustrative example, preventing livestock antibiotic usage from enhancing the rate of clearance (</w:t>
      </w:r>
      <w:r w:rsidR="00A41B54">
        <w:rPr>
          <w:rFonts w:cstheme="minorHAnsi"/>
        </w:rPr>
        <w:t>κ</w:t>
      </w:r>
      <w:r w:rsidRPr="00D67AE7">
        <w:rPr>
          <w:rFonts w:cstheme="minorHAnsi"/>
        </w:rPr>
        <w:t xml:space="preserve"> = 0) </w:t>
      </w:r>
      <w:r w:rsidR="00AB2E5C" w:rsidRPr="00D67AE7">
        <w:rPr>
          <w:rFonts w:cstheme="minorHAnsi"/>
        </w:rPr>
        <w:t xml:space="preserve">and removing fitness costs (α = 0) </w:t>
      </w:r>
      <w:r w:rsidRPr="00D67AE7">
        <w:rPr>
          <w:rFonts w:cstheme="minorHAnsi"/>
        </w:rPr>
        <w:t>prevents increase</w:t>
      </w:r>
      <w:r w:rsidR="00E01E89" w:rsidRPr="00D67AE7">
        <w:rPr>
          <w:rFonts w:cstheme="minorHAnsi"/>
        </w:rPr>
        <w:t>s</w:t>
      </w:r>
      <w:r w:rsidRPr="00D67AE7">
        <w:rPr>
          <w:rFonts w:cstheme="minorHAnsi"/>
        </w:rPr>
        <w:t xml:space="preserve"> in livestock or consequently human foodborne disease following livestock antibiotic curtailment </w:t>
      </w:r>
      <w:r w:rsidRPr="001135B6">
        <w:rPr>
          <w:rFonts w:cstheme="minorHAnsi"/>
        </w:rPr>
        <w:t>(</w:t>
      </w:r>
      <w:r w:rsidR="00813B39" w:rsidRPr="001135B6">
        <w:rPr>
          <w:rFonts w:cstheme="minorHAnsi"/>
        </w:rPr>
        <w:t>Figure S</w:t>
      </w:r>
      <w:r w:rsidR="001135B6" w:rsidRPr="001135B6">
        <w:rPr>
          <w:rFonts w:cstheme="minorHAnsi"/>
        </w:rPr>
        <w:t>7</w:t>
      </w:r>
      <w:r w:rsidRPr="001135B6">
        <w:rPr>
          <w:rFonts w:cstheme="minorHAnsi"/>
        </w:rPr>
        <w:t>).</w:t>
      </w:r>
      <w:r w:rsidRPr="00D67AE7">
        <w:rPr>
          <w:rFonts w:cstheme="minorHAnsi"/>
        </w:rPr>
        <w:t xml:space="preserve"> This is consistent with </w:t>
      </w:r>
      <w:r w:rsidR="0068769D" w:rsidRPr="00D67AE7">
        <w:rPr>
          <w:rFonts w:cstheme="minorHAnsi"/>
        </w:rPr>
        <w:t>several</w:t>
      </w:r>
      <w:r w:rsidRPr="00D67AE7">
        <w:rPr>
          <w:rFonts w:cstheme="minorHAnsi"/>
        </w:rPr>
        <w:t xml:space="preserve"> assumptions in veterinary AMR literature, which suggest limited human health effects following livestock antibiotic curtailment</w:t>
      </w:r>
      <w:r w:rsidR="00886449" w:rsidRPr="00D67AE7">
        <w:rPr>
          <w:rFonts w:cstheme="minorHAnsi"/>
        </w:rPr>
        <w:t xml:space="preserve"> </w:t>
      </w:r>
      <w:r w:rsidR="00886449" w:rsidRPr="00D67AE7">
        <w:t>(</w:t>
      </w:r>
      <w:r w:rsidR="00886449" w:rsidRPr="00D67AE7">
        <w:rPr>
          <w:b/>
          <w:bCs/>
          <w:highlight w:val="yellow"/>
        </w:rPr>
        <w:t>CITE</w:t>
      </w:r>
      <w:r w:rsidR="00886449" w:rsidRPr="00D67AE7">
        <w:t>)</w:t>
      </w:r>
      <w:r w:rsidRPr="00D67AE7">
        <w:rPr>
          <w:rFonts w:cstheme="minorHAnsi"/>
        </w:rPr>
        <w:t>. Further experimental and epidemiological studies must be conducted to confirm the impact of sub-therapeutic and therapeutic antibiotic usage on the period of livestock infectious shedding</w:t>
      </w:r>
      <w:r w:rsidR="00AB2E5C" w:rsidRPr="00D67AE7">
        <w:rPr>
          <w:rFonts w:cstheme="minorHAnsi"/>
        </w:rPr>
        <w:t xml:space="preserve"> and the impact of fitness costs of resistance on transmission potential. </w:t>
      </w:r>
    </w:p>
    <w:p w14:paraId="4F4728C9" w14:textId="77777777" w:rsidR="00A26608" w:rsidRPr="00D67AE7" w:rsidRDefault="00A26608" w:rsidP="008D5DB0">
      <w:pPr>
        <w:pStyle w:val="NoSpacing"/>
        <w:spacing w:line="360" w:lineRule="auto"/>
        <w:jc w:val="both"/>
        <w:rPr>
          <w:rFonts w:cstheme="minorHAnsi"/>
        </w:rPr>
      </w:pPr>
    </w:p>
    <w:p w14:paraId="3575C306" w14:textId="5011539C" w:rsidR="008D5DB0" w:rsidRDefault="008D5DB0" w:rsidP="008D5DB0">
      <w:pPr>
        <w:pStyle w:val="NoSpacing"/>
        <w:spacing w:line="360" w:lineRule="auto"/>
        <w:jc w:val="both"/>
      </w:pPr>
      <w:r w:rsidRPr="000331DE">
        <w:rPr>
          <w:rFonts w:cstheme="minorHAnsi"/>
          <w:highlight w:val="yellow"/>
        </w:rPr>
        <w:t>We note that the simplifi</w:t>
      </w:r>
      <w:r w:rsidR="005F7098" w:rsidRPr="000331DE">
        <w:rPr>
          <w:rFonts w:cstheme="minorHAnsi"/>
          <w:highlight w:val="yellow"/>
        </w:rPr>
        <w:t xml:space="preserve">ed </w:t>
      </w:r>
      <w:r w:rsidRPr="000331DE">
        <w:rPr>
          <w:rFonts w:cstheme="minorHAnsi"/>
          <w:highlight w:val="yellow"/>
        </w:rPr>
        <w:t>system proposed in this study violates the concept of null-neutrality, a hypothesis originally conceived in evolutionary theory, and adapted in AMR modelling to prevent unrealistic assumptions when exploring the mechanisms driving strain co-existence dynamics (</w:t>
      </w:r>
      <w:r w:rsidRPr="000331DE">
        <w:rPr>
          <w:rFonts w:cstheme="minorHAnsi"/>
          <w:b/>
          <w:bCs/>
          <w:highlight w:val="yellow"/>
        </w:rPr>
        <w:t>50/50 STRAIN LIPSITCH</w:t>
      </w:r>
      <w:r w:rsidR="00886449" w:rsidRPr="000331DE">
        <w:rPr>
          <w:rFonts w:cstheme="minorHAnsi"/>
          <w:b/>
          <w:bCs/>
          <w:highlight w:val="yellow"/>
        </w:rPr>
        <w:t xml:space="preserve"> - </w:t>
      </w:r>
      <w:r w:rsidR="00886449" w:rsidRPr="000331DE">
        <w:rPr>
          <w:b/>
          <w:bCs/>
          <w:highlight w:val="yellow"/>
        </w:rPr>
        <w:t>CITE</w:t>
      </w:r>
      <w:r w:rsidRPr="000331DE">
        <w:rPr>
          <w:rFonts w:cstheme="minorHAnsi"/>
          <w:highlight w:val="yellow"/>
        </w:rPr>
        <w:t>).</w:t>
      </w:r>
      <w:r w:rsidR="005F7098" w:rsidRPr="000331DE">
        <w:rPr>
          <w:rFonts w:cstheme="minorHAnsi"/>
          <w:highlight w:val="yellow"/>
        </w:rPr>
        <w:t xml:space="preserve"> </w:t>
      </w:r>
      <w:r w:rsidR="00967A61" w:rsidRPr="000331DE">
        <w:rPr>
          <w:rFonts w:cstheme="minorHAnsi"/>
          <w:highlight w:val="yellow"/>
        </w:rPr>
        <w:t xml:space="preserve">This can be observed with the use of implicit assumptions to drive co-existence between strains (minority/majority of strains within compartments) and the presence of “immigration” infections (ζ) not tractable to the initial conditions at time 0.  </w:t>
      </w:r>
      <w:r w:rsidRPr="000331DE">
        <w:rPr>
          <w:rFonts w:cstheme="minorHAnsi"/>
          <w:highlight w:val="yellow"/>
        </w:rPr>
        <w:t>However,</w:t>
      </w:r>
      <w:r w:rsidR="00B361BE" w:rsidRPr="000331DE">
        <w:rPr>
          <w:rFonts w:cstheme="minorHAnsi"/>
          <w:highlight w:val="yellow"/>
        </w:rPr>
        <w:t xml:space="preserve"> the absence of this </w:t>
      </w:r>
      <w:r w:rsidR="00967A61" w:rsidRPr="000331DE">
        <w:rPr>
          <w:rFonts w:cstheme="minorHAnsi"/>
          <w:highlight w:val="yellow"/>
        </w:rPr>
        <w:t>i</w:t>
      </w:r>
      <w:r w:rsidR="00B361BE" w:rsidRPr="000331DE">
        <w:rPr>
          <w:rFonts w:cstheme="minorHAnsi"/>
          <w:highlight w:val="yellow"/>
        </w:rPr>
        <w:t>n our model can be justified, as</w:t>
      </w:r>
      <w:r w:rsidRPr="000331DE">
        <w:rPr>
          <w:rFonts w:cstheme="minorHAnsi"/>
          <w:highlight w:val="yellow"/>
        </w:rPr>
        <w:t xml:space="preserve"> </w:t>
      </w:r>
      <w:r w:rsidR="00776BC6" w:rsidRPr="000331DE">
        <w:rPr>
          <w:rFonts w:cstheme="minorHAnsi"/>
          <w:highlight w:val="yellow"/>
        </w:rPr>
        <w:t>w</w:t>
      </w:r>
      <w:r w:rsidR="00EA2B85" w:rsidRPr="000331DE">
        <w:rPr>
          <w:rFonts w:cstheme="minorHAnsi"/>
          <w:highlight w:val="yellow"/>
        </w:rPr>
        <w:t xml:space="preserve">e reiterate that the </w:t>
      </w:r>
      <w:r w:rsidR="0045009A" w:rsidRPr="000331DE">
        <w:rPr>
          <w:rFonts w:cstheme="minorHAnsi"/>
          <w:highlight w:val="yellow"/>
        </w:rPr>
        <w:t xml:space="preserve">aim of the </w:t>
      </w:r>
      <w:r w:rsidR="00EA2B85" w:rsidRPr="000331DE">
        <w:rPr>
          <w:rFonts w:cstheme="minorHAnsi"/>
          <w:highlight w:val="yellow"/>
        </w:rPr>
        <w:t xml:space="preserve">model designed for this study </w:t>
      </w:r>
      <w:r w:rsidR="0045009A" w:rsidRPr="000331DE">
        <w:rPr>
          <w:rFonts w:cstheme="minorHAnsi"/>
          <w:highlight w:val="yellow"/>
        </w:rPr>
        <w:t xml:space="preserve">was not </w:t>
      </w:r>
      <w:r w:rsidR="00EA2B85" w:rsidRPr="000331DE">
        <w:rPr>
          <w:rFonts w:cstheme="minorHAnsi"/>
          <w:highlight w:val="yellow"/>
        </w:rPr>
        <w:t>to specifically characterise the evolutionary dynamics underlying coexistence</w:t>
      </w:r>
      <w:r w:rsidR="0045009A" w:rsidRPr="000331DE">
        <w:rPr>
          <w:rFonts w:cstheme="minorHAnsi"/>
          <w:highlight w:val="yellow"/>
        </w:rPr>
        <w:t>.</w:t>
      </w:r>
      <w:r w:rsidR="00EA2B85" w:rsidRPr="000331DE">
        <w:rPr>
          <w:rFonts w:cstheme="minorHAnsi"/>
          <w:highlight w:val="yellow"/>
        </w:rPr>
        <w:t xml:space="preserve"> </w:t>
      </w:r>
      <w:r w:rsidR="0045009A" w:rsidRPr="000331DE">
        <w:rPr>
          <w:rFonts w:cstheme="minorHAnsi"/>
          <w:highlight w:val="yellow"/>
        </w:rPr>
        <w:t>R</w:t>
      </w:r>
      <w:r w:rsidR="00EA2B85" w:rsidRPr="000331DE">
        <w:rPr>
          <w:rFonts w:cstheme="minorHAnsi"/>
          <w:highlight w:val="yellow"/>
        </w:rPr>
        <w:t xml:space="preserve">ather the model was designed to </w:t>
      </w:r>
      <w:r w:rsidR="00776BC6" w:rsidRPr="000331DE">
        <w:rPr>
          <w:rFonts w:cstheme="minorHAnsi"/>
          <w:highlight w:val="yellow"/>
        </w:rPr>
        <w:t>implicitly</w:t>
      </w:r>
      <w:r w:rsidR="00EA2B85" w:rsidRPr="000331DE">
        <w:rPr>
          <w:rFonts w:cstheme="minorHAnsi"/>
          <w:highlight w:val="yellow"/>
        </w:rPr>
        <w:t xml:space="preserve"> </w:t>
      </w:r>
      <w:r w:rsidR="00776BC6" w:rsidRPr="000331DE">
        <w:rPr>
          <w:rFonts w:cstheme="minorHAnsi"/>
          <w:highlight w:val="yellow"/>
        </w:rPr>
        <w:t>acknowledge</w:t>
      </w:r>
      <w:r w:rsidR="00EA2B85" w:rsidRPr="000331DE">
        <w:rPr>
          <w:rFonts w:cstheme="minorHAnsi"/>
          <w:highlight w:val="yellow"/>
        </w:rPr>
        <w:t xml:space="preserve"> that this </w:t>
      </w:r>
      <w:r w:rsidR="00776BC6" w:rsidRPr="000331DE">
        <w:rPr>
          <w:rFonts w:cstheme="minorHAnsi"/>
          <w:highlight w:val="yellow"/>
        </w:rPr>
        <w:t>phenomenon</w:t>
      </w:r>
      <w:r w:rsidR="00EA2B85" w:rsidRPr="000331DE">
        <w:rPr>
          <w:rFonts w:cstheme="minorHAnsi"/>
          <w:highlight w:val="yellow"/>
        </w:rPr>
        <w:t xml:space="preserve"> exists</w:t>
      </w:r>
      <w:r w:rsidR="00776BC6" w:rsidRPr="000331DE">
        <w:rPr>
          <w:rFonts w:cstheme="minorHAnsi"/>
          <w:highlight w:val="yellow"/>
        </w:rPr>
        <w:t>, simplifying the mechanism</w:t>
      </w:r>
      <w:r w:rsidR="0045009A" w:rsidRPr="000331DE">
        <w:rPr>
          <w:rFonts w:cstheme="minorHAnsi"/>
          <w:highlight w:val="yellow"/>
        </w:rPr>
        <w:t>s</w:t>
      </w:r>
      <w:r w:rsidR="00776BC6" w:rsidRPr="000331DE">
        <w:rPr>
          <w:rFonts w:cstheme="minorHAnsi"/>
          <w:highlight w:val="yellow"/>
        </w:rPr>
        <w:t xml:space="preserve"> underlying coexistence</w:t>
      </w:r>
      <w:r w:rsidR="00EA2B85" w:rsidRPr="000331DE">
        <w:rPr>
          <w:rFonts w:cstheme="minorHAnsi"/>
          <w:highlight w:val="yellow"/>
        </w:rPr>
        <w:t xml:space="preserve"> and instead concentrat</w:t>
      </w:r>
      <w:r w:rsidR="00776BC6" w:rsidRPr="000331DE">
        <w:rPr>
          <w:rFonts w:cstheme="minorHAnsi"/>
          <w:highlight w:val="yellow"/>
        </w:rPr>
        <w:t>ing</w:t>
      </w:r>
      <w:r w:rsidR="00EA2B85" w:rsidRPr="000331DE">
        <w:rPr>
          <w:rFonts w:cstheme="minorHAnsi"/>
          <w:highlight w:val="yellow"/>
        </w:rPr>
        <w:t xml:space="preserve"> o</w:t>
      </w:r>
      <w:r w:rsidR="00776BC6" w:rsidRPr="000331DE">
        <w:rPr>
          <w:rFonts w:cstheme="minorHAnsi"/>
          <w:highlight w:val="yellow"/>
        </w:rPr>
        <w:t xml:space="preserve">n the impact of host heterogeneity and zoonotic transmission on </w:t>
      </w:r>
      <w:r w:rsidR="0045009A" w:rsidRPr="000331DE">
        <w:rPr>
          <w:rFonts w:cstheme="minorHAnsi"/>
          <w:highlight w:val="yellow"/>
        </w:rPr>
        <w:t xml:space="preserve">livestock </w:t>
      </w:r>
      <w:r w:rsidR="00776BC6" w:rsidRPr="000331DE">
        <w:rPr>
          <w:rFonts w:cstheme="minorHAnsi"/>
          <w:highlight w:val="yellow"/>
        </w:rPr>
        <w:t xml:space="preserve">AMR interventions. </w:t>
      </w:r>
      <w:r w:rsidRPr="000331DE">
        <w:rPr>
          <w:rFonts w:cstheme="minorHAnsi"/>
          <w:highlight w:val="yellow"/>
        </w:rPr>
        <w:t>Nevertheless, as highlighted by Davies et al, (</w:t>
      </w:r>
      <w:r w:rsidRPr="000331DE">
        <w:rPr>
          <w:rFonts w:cstheme="minorHAnsi"/>
          <w:b/>
          <w:bCs/>
          <w:highlight w:val="yellow"/>
        </w:rPr>
        <w:t>CITE</w:t>
      </w:r>
      <w:r w:rsidRPr="000331DE">
        <w:rPr>
          <w:rFonts w:cstheme="minorHAnsi"/>
          <w:highlight w:val="yellow"/>
        </w:rPr>
        <w:t xml:space="preserve"> – </w:t>
      </w:r>
      <w:r w:rsidRPr="000331DE">
        <w:rPr>
          <w:rFonts w:cstheme="minorHAnsi"/>
          <w:b/>
          <w:bCs/>
          <w:highlight w:val="yellow"/>
        </w:rPr>
        <w:t>both papers</w:t>
      </w:r>
      <w:r w:rsidRPr="000331DE">
        <w:rPr>
          <w:rFonts w:cstheme="minorHAnsi"/>
          <w:highlight w:val="yellow"/>
        </w:rPr>
        <w:t xml:space="preserve">) </w:t>
      </w:r>
      <w:r w:rsidR="005F7098" w:rsidRPr="000331DE">
        <w:rPr>
          <w:rFonts w:cstheme="minorHAnsi"/>
          <w:highlight w:val="yellow"/>
        </w:rPr>
        <w:t>explicitly</w:t>
      </w:r>
      <w:r w:rsidRPr="000331DE">
        <w:rPr>
          <w:rFonts w:cstheme="minorHAnsi"/>
          <w:highlight w:val="yellow"/>
        </w:rPr>
        <w:t xml:space="preserve"> modelling mechanisms driving coexistence through models which conform to null-neutrality may have e</w:t>
      </w:r>
      <w:r w:rsidRPr="000331DE">
        <w:rPr>
          <w:highlight w:val="yellow"/>
        </w:rPr>
        <w:t xml:space="preserve">xtensive implications on the potential impact of modelled interventions </w:t>
      </w:r>
      <w:r w:rsidR="00886449" w:rsidRPr="000331DE">
        <w:rPr>
          <w:highlight w:val="yellow"/>
        </w:rPr>
        <w:t>(</w:t>
      </w:r>
      <w:r w:rsidR="00886449" w:rsidRPr="000331DE">
        <w:rPr>
          <w:b/>
          <w:bCs/>
          <w:highlight w:val="yellow"/>
        </w:rPr>
        <w:t>CITE</w:t>
      </w:r>
      <w:r w:rsidR="00886449" w:rsidRPr="000331DE">
        <w:rPr>
          <w:highlight w:val="yellow"/>
        </w:rPr>
        <w:t>)</w:t>
      </w:r>
      <w:r w:rsidRPr="000331DE">
        <w:rPr>
          <w:highlight w:val="yellow"/>
        </w:rPr>
        <w:t xml:space="preserve">. Future modelling into livestock antibiotic curtailment may benefit from model comparison and exploratory modelling to assess the effect of assumptions, model structure and </w:t>
      </w:r>
      <w:bookmarkStart w:id="4" w:name="_GoBack"/>
      <w:bookmarkEnd w:id="4"/>
      <w:r w:rsidRPr="000331DE">
        <w:rPr>
          <w:highlight w:val="yellow"/>
        </w:rPr>
        <w:lastRenderedPageBreak/>
        <w:t>explicit modelling of biological phenomena on the impact of modelled interventions.</w:t>
      </w:r>
      <w:r w:rsidR="000331DE">
        <w:t xml:space="preserve"> – </w:t>
      </w:r>
      <w:r w:rsidR="000331DE" w:rsidRPr="000331DE">
        <w:rPr>
          <w:b/>
          <w:highlight w:val="yellow"/>
        </w:rPr>
        <w:t>M</w:t>
      </w:r>
      <w:r w:rsidR="000331DE" w:rsidRPr="000331DE">
        <w:rPr>
          <w:b/>
          <w:highlight w:val="green"/>
        </w:rPr>
        <w:t>AKE THIS WHOLE SECTION A LOT SHORTER</w:t>
      </w:r>
      <w:r w:rsidR="000331DE" w:rsidRPr="000331DE">
        <w:rPr>
          <w:b/>
        </w:rPr>
        <w:t xml:space="preserve">  </w:t>
      </w:r>
    </w:p>
    <w:p w14:paraId="43C157D8" w14:textId="6B53E0F1" w:rsidR="000331DE" w:rsidRDefault="000331DE" w:rsidP="008D5DB0">
      <w:pPr>
        <w:pStyle w:val="NoSpacing"/>
        <w:spacing w:line="360" w:lineRule="auto"/>
        <w:jc w:val="both"/>
      </w:pPr>
    </w:p>
    <w:p w14:paraId="0BE977D6" w14:textId="77777777" w:rsidR="000331DE" w:rsidRPr="00D67AE7" w:rsidRDefault="000331DE" w:rsidP="008D5DB0">
      <w:pPr>
        <w:pStyle w:val="NoSpacing"/>
        <w:spacing w:line="360" w:lineRule="auto"/>
        <w:jc w:val="both"/>
      </w:pPr>
    </w:p>
    <w:p w14:paraId="51C34DF4" w14:textId="0119482C" w:rsidR="009C19B7" w:rsidRPr="00D67AE7" w:rsidRDefault="00C30AC9" w:rsidP="008D5DB0">
      <w:pPr>
        <w:pStyle w:val="NoSpacing"/>
        <w:spacing w:line="360" w:lineRule="auto"/>
        <w:jc w:val="both"/>
        <w:rPr>
          <w:rFonts w:cstheme="minorHAnsi"/>
        </w:rPr>
      </w:pPr>
      <w:r w:rsidRPr="00D67AE7">
        <w:t>W</w:t>
      </w:r>
      <w:r w:rsidR="009C19B7" w:rsidRPr="00D67AE7">
        <w:t xml:space="preserve">e also note </w:t>
      </w:r>
      <w:r w:rsidR="009C19B7" w:rsidRPr="00D67AE7">
        <w:rPr>
          <w:rFonts w:cstheme="minorHAnsi"/>
        </w:rPr>
        <w:t>that the effort required to achieve specific reductions across different transmission parameters is likely to be asymmetrical and non-linear.</w:t>
      </w:r>
      <w:r w:rsidR="00C3684B" w:rsidRPr="00D67AE7">
        <w:rPr>
          <w:rFonts w:cstheme="minorHAnsi"/>
        </w:rPr>
        <w:t xml:space="preserve"> </w:t>
      </w:r>
      <w:r w:rsidRPr="00D67AE7">
        <w:rPr>
          <w:rFonts w:cstheme="minorHAnsi"/>
        </w:rPr>
        <w:t>Quantifying the impact</w:t>
      </w:r>
      <w:r w:rsidR="00C3684B" w:rsidRPr="00D67AE7">
        <w:rPr>
          <w:rFonts w:cstheme="minorHAnsi"/>
        </w:rPr>
        <w:t xml:space="preserve"> of livestock interventions </w:t>
      </w:r>
      <w:r w:rsidRPr="00D67AE7">
        <w:rPr>
          <w:rFonts w:cstheme="minorHAnsi"/>
        </w:rPr>
        <w:t>on</w:t>
      </w:r>
      <w:r w:rsidR="00C3684B" w:rsidRPr="00D67AE7">
        <w:rPr>
          <w:rFonts w:cstheme="minorHAnsi"/>
        </w:rPr>
        <w:t xml:space="preserve"> transmission</w:t>
      </w:r>
      <w:r w:rsidRPr="00D67AE7">
        <w:rPr>
          <w:rFonts w:cstheme="minorHAnsi"/>
        </w:rPr>
        <w:t xml:space="preserve"> through future epidemiological studies</w:t>
      </w:r>
      <w:r w:rsidR="00C3684B" w:rsidRPr="00D67AE7">
        <w:rPr>
          <w:rFonts w:cstheme="minorHAnsi"/>
        </w:rPr>
        <w:t xml:space="preserve"> </w:t>
      </w:r>
      <w:r w:rsidRPr="00D67AE7">
        <w:rPr>
          <w:rFonts w:cstheme="minorHAnsi"/>
        </w:rPr>
        <w:t xml:space="preserve">would likely be necessary for further studies which aim to predict the impact of livestock interventions. </w:t>
      </w:r>
      <w:r w:rsidR="00F518A6" w:rsidRPr="00D67AE7">
        <w:rPr>
          <w:rFonts w:cstheme="minorHAnsi"/>
        </w:rPr>
        <w:t>Additionally, future predictive modelling is still limited by a lack of understanding of effect of farm-to-fork food processing on microbial loads and resistance</w:t>
      </w:r>
      <w:r w:rsidR="00C32C79">
        <w:rPr>
          <w:rFonts w:cstheme="minorHAnsi"/>
        </w:rPr>
        <w:t xml:space="preserve"> (</w:t>
      </w:r>
      <w:r w:rsidR="00C32C79" w:rsidRPr="00C32C79">
        <w:rPr>
          <w:rFonts w:cstheme="minorHAnsi"/>
          <w:b/>
          <w:bCs/>
          <w:highlight w:val="yellow"/>
        </w:rPr>
        <w:t>CITE</w:t>
      </w:r>
      <w:r w:rsidR="00C32C79">
        <w:rPr>
          <w:rFonts w:cstheme="minorHAnsi"/>
        </w:rPr>
        <w:t>)</w:t>
      </w:r>
      <w:r w:rsidR="00F518A6" w:rsidRPr="00D67AE7">
        <w:rPr>
          <w:rFonts w:cstheme="minorHAnsi"/>
        </w:rPr>
        <w:t xml:space="preserve">. </w:t>
      </w:r>
    </w:p>
    <w:p w14:paraId="75990F03" w14:textId="77777777" w:rsidR="0068769D" w:rsidRDefault="0068769D" w:rsidP="008B37AC">
      <w:pPr>
        <w:pStyle w:val="NoSpacing"/>
        <w:spacing w:line="360" w:lineRule="auto"/>
        <w:jc w:val="both"/>
        <w:rPr>
          <w:rFonts w:cstheme="minorHAnsi"/>
        </w:rPr>
      </w:pPr>
    </w:p>
    <w:p w14:paraId="60EA243A" w14:textId="52D5F807" w:rsidR="008B37AC" w:rsidRPr="008B37AC" w:rsidRDefault="00FC405E" w:rsidP="008B37AC">
      <w:pPr>
        <w:pStyle w:val="NoSpacing"/>
        <w:spacing w:line="360" w:lineRule="auto"/>
        <w:jc w:val="both"/>
        <w:rPr>
          <w:rFonts w:cstheme="minorHAnsi"/>
        </w:rPr>
      </w:pPr>
      <w:r>
        <w:rPr>
          <w:rFonts w:cstheme="minorHAnsi"/>
        </w:rPr>
        <w:t>T</w:t>
      </w:r>
      <w:r w:rsidR="008B37AC" w:rsidRPr="008B37AC">
        <w:rPr>
          <w:rFonts w:cstheme="minorHAnsi"/>
        </w:rPr>
        <w:t>he differences observed across case studies could be attributable to heterogeneit</w:t>
      </w:r>
      <w:r w:rsidR="008B37AC">
        <w:rPr>
          <w:rFonts w:cstheme="minorHAnsi"/>
        </w:rPr>
        <w:t>ies</w:t>
      </w:r>
      <w:r w:rsidR="008B37AC" w:rsidRPr="008B37AC">
        <w:rPr>
          <w:rFonts w:cstheme="minorHAnsi"/>
        </w:rPr>
        <w:t xml:space="preserve"> in </w:t>
      </w:r>
      <w:r w:rsidR="007B769A" w:rsidRPr="008B37AC">
        <w:rPr>
          <w:rFonts w:cstheme="minorHAnsi"/>
        </w:rPr>
        <w:t>setting, livestock, host, pathogen and</w:t>
      </w:r>
      <w:r>
        <w:rPr>
          <w:rFonts w:cstheme="minorHAnsi"/>
        </w:rPr>
        <w:t xml:space="preserve"> phenotypic</w:t>
      </w:r>
      <w:r w:rsidR="007B769A" w:rsidRPr="008B37AC">
        <w:rPr>
          <w:rFonts w:cstheme="minorHAnsi"/>
        </w:rPr>
        <w:t xml:space="preserve"> resistance</w:t>
      </w:r>
      <w:r w:rsidR="005D69A1" w:rsidRPr="008B37AC">
        <w:rPr>
          <w:rFonts w:cstheme="minorHAnsi"/>
        </w:rPr>
        <w:t>, with th</w:t>
      </w:r>
      <w:r w:rsidR="009A1316">
        <w:rPr>
          <w:rFonts w:cstheme="minorHAnsi"/>
        </w:rPr>
        <w:t xml:space="preserve">ese </w:t>
      </w:r>
      <w:r w:rsidR="005D69A1" w:rsidRPr="008B37AC">
        <w:rPr>
          <w:rFonts w:cstheme="minorHAnsi"/>
        </w:rPr>
        <w:t>difference</w:t>
      </w:r>
      <w:r w:rsidR="009A1316">
        <w:rPr>
          <w:rFonts w:cstheme="minorHAnsi"/>
        </w:rPr>
        <w:t>s</w:t>
      </w:r>
      <w:r w:rsidR="005D69A1" w:rsidRPr="008B37AC">
        <w:rPr>
          <w:rFonts w:cstheme="minorHAnsi"/>
        </w:rPr>
        <w:t xml:space="preserve"> being observed in AMR literature (</w:t>
      </w:r>
      <w:r w:rsidR="005D69A1" w:rsidRPr="00FC405E">
        <w:rPr>
          <w:rFonts w:cstheme="minorHAnsi"/>
          <w:highlight w:val="yellow"/>
        </w:rPr>
        <w:t>CARMO ET AL</w:t>
      </w:r>
      <w:r w:rsidR="008B37AC">
        <w:rPr>
          <w:rFonts w:cstheme="minorHAnsi"/>
        </w:rPr>
        <w:t xml:space="preserve">). It is also plausible that the difference observed </w:t>
      </w:r>
      <w:r w:rsidR="008B37AC" w:rsidRPr="008B37AC">
        <w:rPr>
          <w:rFonts w:cstheme="minorHAnsi"/>
        </w:rPr>
        <w:t xml:space="preserve">could also be due to the </w:t>
      </w:r>
      <w:r w:rsidR="007B769A" w:rsidRPr="008B37AC">
        <w:rPr>
          <w:rFonts w:cstheme="minorHAnsi"/>
        </w:rPr>
        <w:t xml:space="preserve">large level of </w:t>
      </w:r>
      <w:r w:rsidR="00E369EB" w:rsidRPr="008B37AC">
        <w:rPr>
          <w:rFonts w:cstheme="minorHAnsi"/>
        </w:rPr>
        <w:t>“</w:t>
      </w:r>
      <w:r w:rsidR="007B769A" w:rsidRPr="008B37AC">
        <w:rPr>
          <w:rFonts w:cstheme="minorHAnsi"/>
        </w:rPr>
        <w:t>noise</w:t>
      </w:r>
      <w:r w:rsidR="00E369EB" w:rsidRPr="008B37AC">
        <w:rPr>
          <w:rFonts w:cstheme="minorHAnsi"/>
        </w:rPr>
        <w:t>”</w:t>
      </w:r>
      <w:r w:rsidR="007B769A" w:rsidRPr="008B37AC">
        <w:rPr>
          <w:rFonts w:cstheme="minorHAnsi"/>
        </w:rPr>
        <w:t xml:space="preserve"> present in the EFSA and ESVAC data used to fit the model</w:t>
      </w:r>
      <w:r w:rsidR="00E369EB" w:rsidRPr="008B37AC">
        <w:rPr>
          <w:rFonts w:cstheme="minorHAnsi"/>
        </w:rPr>
        <w:t xml:space="preserve">. This </w:t>
      </w:r>
      <w:r w:rsidR="008B37AC" w:rsidRPr="008B37AC">
        <w:rPr>
          <w:rFonts w:cstheme="minorHAnsi"/>
        </w:rPr>
        <w:t xml:space="preserve">“noise” </w:t>
      </w:r>
      <w:r w:rsidR="00E369EB" w:rsidRPr="008B37AC">
        <w:rPr>
          <w:rFonts w:cstheme="minorHAnsi"/>
        </w:rPr>
        <w:t xml:space="preserve">could be due to </w:t>
      </w:r>
      <w:r w:rsidR="00D6490A" w:rsidRPr="008B37AC">
        <w:rPr>
          <w:rFonts w:cstheme="minorHAnsi"/>
        </w:rPr>
        <w:t>several</w:t>
      </w:r>
      <w:r w:rsidR="00D96CB1" w:rsidRPr="008B37AC">
        <w:rPr>
          <w:rFonts w:cstheme="minorHAnsi"/>
        </w:rPr>
        <w:t xml:space="preserve"> interacting</w:t>
      </w:r>
      <w:r w:rsidR="00E369EB" w:rsidRPr="008B37AC">
        <w:rPr>
          <w:rFonts w:cstheme="minorHAnsi"/>
        </w:rPr>
        <w:t xml:space="preserve"> factors</w:t>
      </w:r>
      <w:r w:rsidR="00D96CB1" w:rsidRPr="008B37AC">
        <w:rPr>
          <w:rFonts w:cstheme="minorHAnsi"/>
        </w:rPr>
        <w:t xml:space="preserve">: 1) livestock antibiotic usage and </w:t>
      </w:r>
      <w:r w:rsidR="00672745" w:rsidRPr="008B37AC">
        <w:rPr>
          <w:rFonts w:cstheme="minorHAnsi"/>
        </w:rPr>
        <w:t>livestock resistance have a non-monotonic relationship</w:t>
      </w:r>
      <w:r w:rsidR="00B609F0" w:rsidRPr="008B37AC">
        <w:rPr>
          <w:rFonts w:cstheme="minorHAnsi"/>
        </w:rPr>
        <w:t>,</w:t>
      </w:r>
      <w:r w:rsidR="00672745" w:rsidRPr="008B37AC">
        <w:rPr>
          <w:rFonts w:cstheme="minorHAnsi"/>
        </w:rPr>
        <w:t xml:space="preserve"> </w:t>
      </w:r>
      <w:r w:rsidR="00D6490A" w:rsidRPr="008B37AC">
        <w:rPr>
          <w:rFonts w:cstheme="minorHAnsi"/>
        </w:rPr>
        <w:t>2) livestock antibiotic sales are a poor proxy for usage</w:t>
      </w:r>
      <w:r w:rsidR="00B609F0" w:rsidRPr="008B37AC">
        <w:rPr>
          <w:rFonts w:cstheme="minorHAnsi"/>
        </w:rPr>
        <w:t>,</w:t>
      </w:r>
      <w:r w:rsidR="00D6490A" w:rsidRPr="008B37AC">
        <w:rPr>
          <w:rFonts w:cstheme="minorHAnsi"/>
        </w:rPr>
        <w:t xml:space="preserve"> 3) available EFSA/ESVAC data is of insufficient quality or sample size to accurately capture the true relationship. </w:t>
      </w:r>
    </w:p>
    <w:p w14:paraId="75AF7964" w14:textId="4A3B9F0A" w:rsidR="008B37AC" w:rsidRDefault="008B37AC" w:rsidP="008B37AC">
      <w:pPr>
        <w:pStyle w:val="NoSpacing"/>
        <w:spacing w:line="360" w:lineRule="auto"/>
        <w:jc w:val="both"/>
        <w:rPr>
          <w:rFonts w:cstheme="minorHAnsi"/>
          <w:highlight w:val="yellow"/>
        </w:rPr>
      </w:pPr>
    </w:p>
    <w:p w14:paraId="007CA9CA" w14:textId="2D24B5C0" w:rsidR="00B609F0" w:rsidRPr="005D1AA1" w:rsidRDefault="009A1316" w:rsidP="00B609F0">
      <w:pPr>
        <w:pStyle w:val="NoSpacing"/>
        <w:spacing w:line="360" w:lineRule="auto"/>
        <w:jc w:val="both"/>
        <w:rPr>
          <w:rFonts w:cstheme="minorHAnsi"/>
        </w:rPr>
      </w:pPr>
      <w:r w:rsidRPr="005D1AA1">
        <w:rPr>
          <w:rFonts w:cstheme="minorHAnsi"/>
        </w:rPr>
        <w:t>We note that bans of livestock antibiotics such as avoparcin ha</w:t>
      </w:r>
      <w:r w:rsidR="00382C35" w:rsidRPr="005D1AA1">
        <w:rPr>
          <w:rFonts w:cstheme="minorHAnsi"/>
        </w:rPr>
        <w:t>ve</w:t>
      </w:r>
      <w:r w:rsidRPr="005D1AA1">
        <w:rPr>
          <w:rFonts w:cstheme="minorHAnsi"/>
        </w:rPr>
        <w:t xml:space="preserve"> been followed by sharp decreases in the prevalence of </w:t>
      </w:r>
      <w:r w:rsidR="005350CF">
        <w:rPr>
          <w:rFonts w:cstheme="minorHAnsi"/>
        </w:rPr>
        <w:t>antibiotic resistance</w:t>
      </w:r>
      <w:r w:rsidRPr="005D1AA1">
        <w:rPr>
          <w:rFonts w:cstheme="minorHAnsi"/>
        </w:rPr>
        <w:t>, therefore such trends would likely be observed if the “true” relationship between livestock antibiotic usage and livestock resistance was observed</w:t>
      </w:r>
      <w:r w:rsidR="00C32C79">
        <w:rPr>
          <w:rFonts w:cstheme="minorHAnsi"/>
        </w:rPr>
        <w:t xml:space="preserve"> (</w:t>
      </w:r>
      <w:r w:rsidR="00C32C79" w:rsidRPr="00C32C79">
        <w:rPr>
          <w:rFonts w:cstheme="minorHAnsi"/>
          <w:b/>
          <w:bCs/>
          <w:highlight w:val="yellow"/>
        </w:rPr>
        <w:t>CITE</w:t>
      </w:r>
      <w:r w:rsidR="00C32C79">
        <w:rPr>
          <w:rFonts w:cstheme="minorHAnsi"/>
        </w:rPr>
        <w:t>)</w:t>
      </w:r>
      <w:r w:rsidRPr="005D1AA1">
        <w:rPr>
          <w:rFonts w:cstheme="minorHAnsi"/>
        </w:rPr>
        <w:t xml:space="preserve">. However, </w:t>
      </w:r>
      <w:r w:rsidR="00382C35" w:rsidRPr="005D1AA1">
        <w:rPr>
          <w:rFonts w:cstheme="minorHAnsi"/>
        </w:rPr>
        <w:t xml:space="preserve">this assumes that </w:t>
      </w:r>
      <w:r w:rsidR="00857445">
        <w:rPr>
          <w:rFonts w:cstheme="minorHAnsi"/>
        </w:rPr>
        <w:t xml:space="preserve">variation in </w:t>
      </w:r>
      <w:r w:rsidR="00382C35" w:rsidRPr="005D1AA1">
        <w:rPr>
          <w:rFonts w:cstheme="minorHAnsi"/>
        </w:rPr>
        <w:t>livestock antibiotic usage is the sole driver of differences between country-level resistance in livestock. Hierarchical statistical models should be used to explore country-level effects on the prevalence of livestock antibiotic usage</w:t>
      </w:r>
      <w:r w:rsidR="00C32C79">
        <w:rPr>
          <w:rFonts w:cstheme="minorHAnsi"/>
        </w:rPr>
        <w:t xml:space="preserve"> (</w:t>
      </w:r>
      <w:r w:rsidR="00C32C79" w:rsidRPr="00C32C79">
        <w:rPr>
          <w:rFonts w:cstheme="minorHAnsi"/>
          <w:b/>
          <w:bCs/>
          <w:highlight w:val="yellow"/>
        </w:rPr>
        <w:t>CITE</w:t>
      </w:r>
      <w:r w:rsidR="00C32C79">
        <w:rPr>
          <w:rFonts w:cstheme="minorHAnsi"/>
        </w:rPr>
        <w:t>)</w:t>
      </w:r>
      <w:r w:rsidR="00382C35" w:rsidRPr="005D1AA1">
        <w:rPr>
          <w:rFonts w:cstheme="minorHAnsi"/>
        </w:rPr>
        <w:t xml:space="preserve">. </w:t>
      </w:r>
      <w:r w:rsidR="00672745" w:rsidRPr="005D1AA1">
        <w:rPr>
          <w:rFonts w:cstheme="minorHAnsi"/>
        </w:rPr>
        <w:t>We also note that in the absence of granular, country specific antibiotic usage data stratified</w:t>
      </w:r>
      <w:r w:rsidR="00B609F0" w:rsidRPr="005D1AA1">
        <w:rPr>
          <w:rFonts w:cstheme="minorHAnsi"/>
        </w:rPr>
        <w:t xml:space="preserve"> by antibiotic and livestock, </w:t>
      </w:r>
      <w:r w:rsidR="00780570" w:rsidRPr="005D1AA1">
        <w:rPr>
          <w:rFonts w:cstheme="minorHAnsi"/>
        </w:rPr>
        <w:t xml:space="preserve">use of </w:t>
      </w:r>
      <w:r w:rsidR="00B609F0" w:rsidRPr="005D1AA1">
        <w:rPr>
          <w:rFonts w:cstheme="minorHAnsi"/>
        </w:rPr>
        <w:t xml:space="preserve">antibiotic sales data </w:t>
      </w:r>
      <w:r w:rsidR="00780570" w:rsidRPr="005D1AA1">
        <w:rPr>
          <w:rFonts w:cstheme="minorHAnsi"/>
        </w:rPr>
        <w:t xml:space="preserve">as a proxy </w:t>
      </w:r>
      <w:r w:rsidR="00B609F0" w:rsidRPr="005D1AA1">
        <w:rPr>
          <w:rFonts w:cstheme="minorHAnsi"/>
        </w:rPr>
        <w:t xml:space="preserve">is the only alternative. </w:t>
      </w:r>
      <w:r w:rsidR="00780570" w:rsidRPr="005D1AA1">
        <w:rPr>
          <w:rFonts w:cstheme="minorHAnsi"/>
        </w:rPr>
        <w:t xml:space="preserve">In the absence of higher quality surveillance data in the future, model fitting </w:t>
      </w:r>
      <w:r w:rsidR="0068769D" w:rsidRPr="005D1AA1">
        <w:rPr>
          <w:rFonts w:cstheme="minorHAnsi"/>
        </w:rPr>
        <w:t xml:space="preserve">might </w:t>
      </w:r>
      <w:r w:rsidR="00780570" w:rsidRPr="005D1AA1">
        <w:rPr>
          <w:rFonts w:cstheme="minorHAnsi"/>
        </w:rPr>
        <w:t xml:space="preserve">benefit from </w:t>
      </w:r>
      <w:r w:rsidR="00E32DA8">
        <w:rPr>
          <w:rFonts w:cstheme="minorHAnsi"/>
        </w:rPr>
        <w:t>model</w:t>
      </w:r>
      <w:r w:rsidR="00780570" w:rsidRPr="005D1AA1">
        <w:rPr>
          <w:rFonts w:cstheme="minorHAnsi"/>
        </w:rPr>
        <w:t xml:space="preserve">-based </w:t>
      </w:r>
      <w:r w:rsidR="00E32DA8">
        <w:rPr>
          <w:rFonts w:cstheme="minorHAnsi"/>
        </w:rPr>
        <w:t>inference of</w:t>
      </w:r>
      <w:r w:rsidR="00780570" w:rsidRPr="005D1AA1">
        <w:rPr>
          <w:rFonts w:cstheme="minorHAnsi"/>
        </w:rPr>
        <w:t xml:space="preserve"> livestock antibiotic usage</w:t>
      </w:r>
      <w:r w:rsidR="0068769D" w:rsidRPr="005D1AA1">
        <w:rPr>
          <w:rFonts w:cstheme="minorHAnsi"/>
        </w:rPr>
        <w:t xml:space="preserve"> data</w:t>
      </w:r>
      <w:r w:rsidR="00780570" w:rsidRPr="005D1AA1">
        <w:rPr>
          <w:rFonts w:cstheme="minorHAnsi"/>
        </w:rPr>
        <w:t xml:space="preserve">. </w:t>
      </w:r>
      <w:r w:rsidR="00B609F0" w:rsidRPr="005D1AA1">
        <w:rPr>
          <w:rFonts w:cstheme="minorHAnsi"/>
        </w:rPr>
        <w:t>There is also a dearth of high-quality livestock datasets regarding carriage of foodborne pathogens, especially when compared to availability</w:t>
      </w:r>
      <w:r w:rsidR="00C02537" w:rsidRPr="005D1AA1">
        <w:rPr>
          <w:rFonts w:cstheme="minorHAnsi"/>
        </w:rPr>
        <w:t xml:space="preserve"> and size</w:t>
      </w:r>
      <w:r w:rsidR="00B609F0" w:rsidRPr="005D1AA1">
        <w:rPr>
          <w:rFonts w:cstheme="minorHAnsi"/>
        </w:rPr>
        <w:t xml:space="preserve"> of human datasets (</w:t>
      </w:r>
      <w:r w:rsidR="00B609F0" w:rsidRPr="005350CF">
        <w:rPr>
          <w:rFonts w:cstheme="minorHAnsi"/>
          <w:b/>
          <w:bCs/>
          <w:highlight w:val="yellow"/>
        </w:rPr>
        <w:t>CITE</w:t>
      </w:r>
      <w:r w:rsidR="0068769D" w:rsidRPr="005D1AA1">
        <w:rPr>
          <w:rFonts w:cstheme="minorHAnsi"/>
          <w:b/>
          <w:bCs/>
        </w:rPr>
        <w:t>)</w:t>
      </w:r>
      <w:r w:rsidR="00B609F0" w:rsidRPr="005D1AA1">
        <w:rPr>
          <w:rFonts w:cstheme="minorHAnsi"/>
        </w:rPr>
        <w:t>.</w:t>
      </w:r>
      <w:r w:rsidR="00C02537" w:rsidRPr="005D1AA1">
        <w:rPr>
          <w:rFonts w:cstheme="minorHAnsi"/>
        </w:rPr>
        <w:t xml:space="preserve"> </w:t>
      </w:r>
    </w:p>
    <w:p w14:paraId="5E9E174E" w14:textId="77777777" w:rsidR="00B609F0" w:rsidRPr="005D1AA1" w:rsidRDefault="00B609F0" w:rsidP="00B609F0">
      <w:pPr>
        <w:pStyle w:val="NoSpacing"/>
        <w:spacing w:line="360" w:lineRule="auto"/>
        <w:jc w:val="both"/>
        <w:rPr>
          <w:rFonts w:cstheme="minorHAnsi"/>
        </w:rPr>
      </w:pPr>
    </w:p>
    <w:p w14:paraId="47E4B2CE" w14:textId="37D2BD3E" w:rsidR="00AA5EAF" w:rsidRDefault="0068769D" w:rsidP="00B609F0">
      <w:pPr>
        <w:pStyle w:val="NoSpacing"/>
        <w:spacing w:line="360" w:lineRule="auto"/>
        <w:jc w:val="both"/>
        <w:rPr>
          <w:rFonts w:cstheme="minorHAnsi"/>
        </w:rPr>
      </w:pPr>
      <w:r w:rsidRPr="005D1AA1">
        <w:rPr>
          <w:rFonts w:cstheme="minorHAnsi"/>
        </w:rPr>
        <w:t>D</w:t>
      </w:r>
      <w:r w:rsidR="005D69A1" w:rsidRPr="005D1AA1">
        <w:rPr>
          <w:rFonts w:cstheme="minorHAnsi"/>
        </w:rPr>
        <w:t xml:space="preserve">ue to the uncertainties with the data used in this study, it is important to note that the </w:t>
      </w:r>
      <w:r w:rsidR="00557F17" w:rsidRPr="005D1AA1">
        <w:rPr>
          <w:rFonts w:cstheme="minorHAnsi"/>
        </w:rPr>
        <w:t xml:space="preserve">resulting model fit was not intended </w:t>
      </w:r>
      <w:r w:rsidR="005D69A1" w:rsidRPr="005D1AA1">
        <w:rPr>
          <w:rFonts w:cstheme="minorHAnsi"/>
        </w:rPr>
        <w:t>to predict the definitive consequences following alterations in livestock antibiotic usage</w:t>
      </w:r>
      <w:r w:rsidR="00557F17" w:rsidRPr="005D1AA1">
        <w:rPr>
          <w:rFonts w:cstheme="minorHAnsi"/>
        </w:rPr>
        <w:t xml:space="preserve">. Rather the ABC-SMC approach was used to explore roughly parameterised case </w:t>
      </w:r>
      <w:r w:rsidR="00557F17" w:rsidRPr="005D1AA1">
        <w:rPr>
          <w:rFonts w:cstheme="minorHAnsi"/>
        </w:rPr>
        <w:lastRenderedPageBreak/>
        <w:t>studies with the best available data, used as an illustrative example to explore the hypotheses and model structure proposed in this study.</w:t>
      </w:r>
      <w:r w:rsidR="005D69A1" w:rsidRPr="005D1AA1">
        <w:rPr>
          <w:rFonts w:cstheme="minorHAnsi"/>
        </w:rPr>
        <w:t xml:space="preserve"> </w:t>
      </w:r>
      <w:r w:rsidRPr="005D1AA1">
        <w:rPr>
          <w:rFonts w:cstheme="minorHAnsi"/>
        </w:rPr>
        <w:t>I</w:t>
      </w:r>
      <w:r w:rsidR="005D69A1" w:rsidRPr="005D1AA1">
        <w:rPr>
          <w:rFonts w:cstheme="minorHAnsi"/>
        </w:rPr>
        <w:t xml:space="preserve">t is more useful to consider the parameterisation in this study as a method to ground the model </w:t>
      </w:r>
      <w:r w:rsidRPr="005D1AA1">
        <w:rPr>
          <w:rFonts w:cstheme="minorHAnsi"/>
        </w:rPr>
        <w:t>across</w:t>
      </w:r>
      <w:r w:rsidR="005D69A1" w:rsidRPr="005D1AA1">
        <w:rPr>
          <w:rFonts w:cstheme="minorHAnsi"/>
        </w:rPr>
        <w:t xml:space="preserve"> diverse parameter values, rather than an exact reflection of each case study. Despite the limitations of this data-driven modelling approach, we note that this is a significant improvement compared to an arbitrary parameterisation of the model system. Future improvements to AMR surveillance will likely </w:t>
      </w:r>
      <w:r w:rsidRPr="005D1AA1">
        <w:rPr>
          <w:rFonts w:cstheme="minorHAnsi"/>
        </w:rPr>
        <w:t xml:space="preserve">improve </w:t>
      </w:r>
      <w:r w:rsidR="005D69A1" w:rsidRPr="005D1AA1">
        <w:rPr>
          <w:rFonts w:cstheme="minorHAnsi"/>
        </w:rPr>
        <w:t xml:space="preserve">the accuracy of future </w:t>
      </w:r>
      <w:r w:rsidRPr="005D1AA1">
        <w:rPr>
          <w:rFonts w:cstheme="minorHAnsi"/>
        </w:rPr>
        <w:t>parameterisation</w:t>
      </w:r>
      <w:r w:rsidR="005D69A1" w:rsidRPr="005D1AA1">
        <w:rPr>
          <w:rFonts w:cstheme="minorHAnsi"/>
        </w:rPr>
        <w:t xml:space="preserve"> of livestock AMR models </w:t>
      </w:r>
      <w:r w:rsidR="00C32C79">
        <w:rPr>
          <w:rFonts w:cstheme="minorHAnsi"/>
        </w:rPr>
        <w:t>(</w:t>
      </w:r>
      <w:r w:rsidR="00C32C79" w:rsidRPr="00C32C79">
        <w:rPr>
          <w:rFonts w:cstheme="minorHAnsi"/>
          <w:b/>
          <w:bCs/>
          <w:highlight w:val="yellow"/>
        </w:rPr>
        <w:t>CITE</w:t>
      </w:r>
      <w:r w:rsidR="00C32C79">
        <w:rPr>
          <w:rFonts w:cstheme="minorHAnsi"/>
        </w:rPr>
        <w:t>)</w:t>
      </w:r>
      <w:r w:rsidR="005D69A1" w:rsidRPr="005D1AA1">
        <w:rPr>
          <w:rFonts w:cstheme="minorHAnsi"/>
        </w:rPr>
        <w:t>.</w:t>
      </w:r>
      <w:r w:rsidR="005D69A1" w:rsidRPr="00D67AE7">
        <w:rPr>
          <w:rFonts w:cstheme="minorHAnsi"/>
        </w:rPr>
        <w:t xml:space="preserve"> </w:t>
      </w:r>
    </w:p>
    <w:p w14:paraId="412A3F80" w14:textId="77777777" w:rsidR="002F3576" w:rsidRDefault="002F3576" w:rsidP="008D5DB0">
      <w:pPr>
        <w:pStyle w:val="NoSpacing"/>
        <w:spacing w:line="360" w:lineRule="auto"/>
        <w:jc w:val="both"/>
        <w:rPr>
          <w:rFonts w:cstheme="minorHAnsi"/>
        </w:rPr>
      </w:pPr>
    </w:p>
    <w:p w14:paraId="674572BF" w14:textId="1D720A31" w:rsidR="00DF5944" w:rsidRDefault="005D1AA1" w:rsidP="008D5DB0">
      <w:pPr>
        <w:pStyle w:val="NoSpacing"/>
        <w:spacing w:line="360" w:lineRule="auto"/>
        <w:jc w:val="both"/>
        <w:rPr>
          <w:rFonts w:cstheme="minorHAnsi"/>
        </w:rPr>
      </w:pPr>
      <w:r>
        <w:rPr>
          <w:rFonts w:cstheme="minorHAnsi"/>
        </w:rPr>
        <w:t>Th</w:t>
      </w:r>
      <w:r w:rsidR="0084160B">
        <w:rPr>
          <w:rFonts w:cstheme="minorHAnsi"/>
        </w:rPr>
        <w:t xml:space="preserve">is results from this </w:t>
      </w:r>
      <w:r>
        <w:rPr>
          <w:rFonts w:cstheme="minorHAnsi"/>
        </w:rPr>
        <w:t xml:space="preserve">study </w:t>
      </w:r>
      <w:r w:rsidR="002509A0">
        <w:rPr>
          <w:rFonts w:cstheme="minorHAnsi"/>
        </w:rPr>
        <w:t>corroborate</w:t>
      </w:r>
      <w:r w:rsidR="00980D34">
        <w:rPr>
          <w:rFonts w:cstheme="minorHAnsi"/>
        </w:rPr>
        <w:t>s</w:t>
      </w:r>
      <w:r>
        <w:rPr>
          <w:rFonts w:cstheme="minorHAnsi"/>
        </w:rPr>
        <w:t xml:space="preserve"> epidemiological surveillance and modelling studies</w:t>
      </w:r>
      <w:r w:rsidR="002509A0">
        <w:rPr>
          <w:rFonts w:cstheme="minorHAnsi"/>
        </w:rPr>
        <w:t>,</w:t>
      </w:r>
      <w:r>
        <w:rPr>
          <w:rFonts w:cstheme="minorHAnsi"/>
        </w:rPr>
        <w:t xml:space="preserve"> with decreases in antibiotic resistance following livestock </w:t>
      </w:r>
      <w:r w:rsidR="002509A0">
        <w:rPr>
          <w:rFonts w:cstheme="minorHAnsi"/>
        </w:rPr>
        <w:t>antibiotic</w:t>
      </w:r>
      <w:r>
        <w:rPr>
          <w:rFonts w:cstheme="minorHAnsi"/>
        </w:rPr>
        <w:t xml:space="preserve"> curtailment. However, </w:t>
      </w:r>
      <w:r w:rsidR="00BF3300">
        <w:rPr>
          <w:rFonts w:cstheme="minorHAnsi"/>
        </w:rPr>
        <w:t xml:space="preserve">we identify a </w:t>
      </w:r>
      <w:r w:rsidR="00980D34">
        <w:rPr>
          <w:rFonts w:cstheme="minorHAnsi"/>
        </w:rPr>
        <w:t xml:space="preserve">potential increase in human foodborne disease following curtailment that may be completely mitigated through effective </w:t>
      </w:r>
      <w:r w:rsidR="00DF5944">
        <w:rPr>
          <w:rFonts w:cstheme="minorHAnsi"/>
        </w:rPr>
        <w:t xml:space="preserve">agricultural </w:t>
      </w:r>
      <w:r w:rsidR="00980D34">
        <w:rPr>
          <w:rFonts w:cstheme="minorHAnsi"/>
        </w:rPr>
        <w:t>biosecurity interventions. The efficacy of these interventions</w:t>
      </w:r>
      <w:r w:rsidR="00DF5944">
        <w:rPr>
          <w:rFonts w:cstheme="minorHAnsi"/>
        </w:rPr>
        <w:t xml:space="preserve"> suggests that </w:t>
      </w:r>
      <w:r w:rsidR="007A6BD3">
        <w:rPr>
          <w:rFonts w:cstheme="minorHAnsi"/>
        </w:rPr>
        <w:t>a “one</w:t>
      </w:r>
      <w:r w:rsidR="00C32C79">
        <w:rPr>
          <w:rFonts w:cstheme="minorHAnsi"/>
        </w:rPr>
        <w:t>-</w:t>
      </w:r>
      <w:r w:rsidR="007A6BD3">
        <w:rPr>
          <w:rFonts w:cstheme="minorHAnsi"/>
        </w:rPr>
        <w:t xml:space="preserve">health” attitude and </w:t>
      </w:r>
      <w:r w:rsidR="00DF5944">
        <w:rPr>
          <w:rFonts w:cstheme="minorHAnsi"/>
        </w:rPr>
        <w:t>an</w:t>
      </w:r>
      <w:r w:rsidR="00DF5944" w:rsidRPr="00DF5944">
        <w:rPr>
          <w:rFonts w:cstheme="minorHAnsi"/>
        </w:rPr>
        <w:t xml:space="preserve"> </w:t>
      </w:r>
      <w:r w:rsidR="00DF5944" w:rsidRPr="00D67AE7">
        <w:rPr>
          <w:rFonts w:cstheme="minorHAnsi"/>
        </w:rPr>
        <w:t>intensifying focus on improving livestock welfare to prevent human disease</w:t>
      </w:r>
      <w:r w:rsidR="00DF5944">
        <w:rPr>
          <w:rFonts w:cstheme="minorHAnsi"/>
        </w:rPr>
        <w:t xml:space="preserve"> </w:t>
      </w:r>
      <w:r w:rsidR="007A6BD3">
        <w:rPr>
          <w:rFonts w:cstheme="minorHAnsi"/>
        </w:rPr>
        <w:t>is critical when considering potential control strategies to tackle the AMR crisis.</w:t>
      </w:r>
      <w:r w:rsidR="0084160B">
        <w:rPr>
          <w:rFonts w:cstheme="minorHAnsi"/>
        </w:rPr>
        <w:t xml:space="preserve"> </w:t>
      </w:r>
    </w:p>
    <w:p w14:paraId="7AE208EA" w14:textId="7ACD8449" w:rsidR="008D5DB0" w:rsidRPr="00737B8B" w:rsidRDefault="008D5DB0" w:rsidP="00CD0997">
      <w:pPr>
        <w:pStyle w:val="NoSpacing"/>
        <w:spacing w:line="360" w:lineRule="auto"/>
        <w:jc w:val="both"/>
        <w:rPr>
          <w:rFonts w:cstheme="minorHAnsi"/>
          <w:b/>
          <w:bCs/>
          <w:u w:val="single"/>
        </w:rPr>
      </w:pPr>
    </w:p>
    <w:sectPr w:rsidR="008D5DB0" w:rsidRPr="0073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2"/>
  </w:num>
  <w:num w:numId="6">
    <w:abstractNumId w:val="12"/>
  </w:num>
  <w:num w:numId="7">
    <w:abstractNumId w:val="1"/>
  </w:num>
  <w:num w:numId="8">
    <w:abstractNumId w:val="7"/>
  </w:num>
  <w:num w:numId="9">
    <w:abstractNumId w:val="4"/>
  </w:num>
  <w:num w:numId="10">
    <w:abstractNumId w:val="13"/>
  </w:num>
  <w:num w:numId="11">
    <w:abstractNumId w:val="3"/>
  </w:num>
  <w:num w:numId="12">
    <w:abstractNumId w:val="14"/>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02"/>
    <w:rsid w:val="00001E08"/>
    <w:rsid w:val="00011212"/>
    <w:rsid w:val="00022E93"/>
    <w:rsid w:val="000274E1"/>
    <w:rsid w:val="000331DE"/>
    <w:rsid w:val="000946DF"/>
    <w:rsid w:val="000B01BB"/>
    <w:rsid w:val="000D0F05"/>
    <w:rsid w:val="000D2A47"/>
    <w:rsid w:val="000E67F2"/>
    <w:rsid w:val="00111260"/>
    <w:rsid w:val="001135B6"/>
    <w:rsid w:val="001142A2"/>
    <w:rsid w:val="00117788"/>
    <w:rsid w:val="0012774A"/>
    <w:rsid w:val="00135359"/>
    <w:rsid w:val="00143156"/>
    <w:rsid w:val="0018541F"/>
    <w:rsid w:val="00196251"/>
    <w:rsid w:val="001A0A85"/>
    <w:rsid w:val="001C7F84"/>
    <w:rsid w:val="001D6A68"/>
    <w:rsid w:val="00200F56"/>
    <w:rsid w:val="002135EA"/>
    <w:rsid w:val="002509A0"/>
    <w:rsid w:val="002534CB"/>
    <w:rsid w:val="00262AFB"/>
    <w:rsid w:val="002671DD"/>
    <w:rsid w:val="00272AEC"/>
    <w:rsid w:val="002A3C83"/>
    <w:rsid w:val="002A5D71"/>
    <w:rsid w:val="002F1969"/>
    <w:rsid w:val="002F3576"/>
    <w:rsid w:val="002F522E"/>
    <w:rsid w:val="00312DE0"/>
    <w:rsid w:val="00322B49"/>
    <w:rsid w:val="003278B4"/>
    <w:rsid w:val="00342F0D"/>
    <w:rsid w:val="00370782"/>
    <w:rsid w:val="00376000"/>
    <w:rsid w:val="00382C35"/>
    <w:rsid w:val="00395A81"/>
    <w:rsid w:val="003D1B9A"/>
    <w:rsid w:val="003D551E"/>
    <w:rsid w:val="00400728"/>
    <w:rsid w:val="00404368"/>
    <w:rsid w:val="0045009A"/>
    <w:rsid w:val="004842D8"/>
    <w:rsid w:val="00491943"/>
    <w:rsid w:val="004A043F"/>
    <w:rsid w:val="004A5620"/>
    <w:rsid w:val="004C1DC8"/>
    <w:rsid w:val="004C61BF"/>
    <w:rsid w:val="004E423A"/>
    <w:rsid w:val="00505779"/>
    <w:rsid w:val="00515740"/>
    <w:rsid w:val="005307C0"/>
    <w:rsid w:val="005350CF"/>
    <w:rsid w:val="00552096"/>
    <w:rsid w:val="00552FA7"/>
    <w:rsid w:val="00553B56"/>
    <w:rsid w:val="00557F17"/>
    <w:rsid w:val="00564606"/>
    <w:rsid w:val="00594C2D"/>
    <w:rsid w:val="005A1045"/>
    <w:rsid w:val="005A1FAE"/>
    <w:rsid w:val="005A4D68"/>
    <w:rsid w:val="005A5A64"/>
    <w:rsid w:val="005A793B"/>
    <w:rsid w:val="005C16A5"/>
    <w:rsid w:val="005D1AA1"/>
    <w:rsid w:val="005D69A1"/>
    <w:rsid w:val="005D7CD0"/>
    <w:rsid w:val="005E413F"/>
    <w:rsid w:val="005F3DDA"/>
    <w:rsid w:val="005F7098"/>
    <w:rsid w:val="00610202"/>
    <w:rsid w:val="0061034E"/>
    <w:rsid w:val="00612990"/>
    <w:rsid w:val="00672745"/>
    <w:rsid w:val="0068769D"/>
    <w:rsid w:val="00690355"/>
    <w:rsid w:val="00691F18"/>
    <w:rsid w:val="00694276"/>
    <w:rsid w:val="0069727F"/>
    <w:rsid w:val="00697720"/>
    <w:rsid w:val="006A1BE9"/>
    <w:rsid w:val="006A4934"/>
    <w:rsid w:val="00713317"/>
    <w:rsid w:val="00714F3F"/>
    <w:rsid w:val="007272E6"/>
    <w:rsid w:val="00737B8B"/>
    <w:rsid w:val="00746010"/>
    <w:rsid w:val="00761B80"/>
    <w:rsid w:val="00776BC6"/>
    <w:rsid w:val="00780570"/>
    <w:rsid w:val="007843CD"/>
    <w:rsid w:val="00795193"/>
    <w:rsid w:val="007A6BD3"/>
    <w:rsid w:val="007A6CE5"/>
    <w:rsid w:val="007B077D"/>
    <w:rsid w:val="007B769A"/>
    <w:rsid w:val="007C4D5F"/>
    <w:rsid w:val="00813B39"/>
    <w:rsid w:val="0081695C"/>
    <w:rsid w:val="00836F29"/>
    <w:rsid w:val="0084160B"/>
    <w:rsid w:val="0084700F"/>
    <w:rsid w:val="00856D37"/>
    <w:rsid w:val="00857445"/>
    <w:rsid w:val="008829B4"/>
    <w:rsid w:val="00885806"/>
    <w:rsid w:val="00886449"/>
    <w:rsid w:val="00887BA8"/>
    <w:rsid w:val="008B37AC"/>
    <w:rsid w:val="008B4448"/>
    <w:rsid w:val="008C4463"/>
    <w:rsid w:val="008D5DB0"/>
    <w:rsid w:val="008E1A3F"/>
    <w:rsid w:val="00902156"/>
    <w:rsid w:val="00903286"/>
    <w:rsid w:val="00917831"/>
    <w:rsid w:val="00924E01"/>
    <w:rsid w:val="00932245"/>
    <w:rsid w:val="009421D2"/>
    <w:rsid w:val="00943A0E"/>
    <w:rsid w:val="00944C32"/>
    <w:rsid w:val="00951920"/>
    <w:rsid w:val="0096269C"/>
    <w:rsid w:val="009647D1"/>
    <w:rsid w:val="00967A61"/>
    <w:rsid w:val="009750B1"/>
    <w:rsid w:val="00980D34"/>
    <w:rsid w:val="00980EB6"/>
    <w:rsid w:val="009A1316"/>
    <w:rsid w:val="009C19B7"/>
    <w:rsid w:val="009C54CC"/>
    <w:rsid w:val="009D5B4C"/>
    <w:rsid w:val="009F2F4B"/>
    <w:rsid w:val="00A07CA3"/>
    <w:rsid w:val="00A254BE"/>
    <w:rsid w:val="00A26608"/>
    <w:rsid w:val="00A339C8"/>
    <w:rsid w:val="00A3567D"/>
    <w:rsid w:val="00A41B54"/>
    <w:rsid w:val="00A63B31"/>
    <w:rsid w:val="00A9171F"/>
    <w:rsid w:val="00A9283D"/>
    <w:rsid w:val="00AA5EAF"/>
    <w:rsid w:val="00AB2E5C"/>
    <w:rsid w:val="00AB5FD4"/>
    <w:rsid w:val="00AB6D83"/>
    <w:rsid w:val="00AF468F"/>
    <w:rsid w:val="00B104B4"/>
    <w:rsid w:val="00B11123"/>
    <w:rsid w:val="00B15218"/>
    <w:rsid w:val="00B16CB4"/>
    <w:rsid w:val="00B34A54"/>
    <w:rsid w:val="00B361BE"/>
    <w:rsid w:val="00B500F3"/>
    <w:rsid w:val="00B56ECD"/>
    <w:rsid w:val="00B609F0"/>
    <w:rsid w:val="00B61C77"/>
    <w:rsid w:val="00B6390A"/>
    <w:rsid w:val="00B7030C"/>
    <w:rsid w:val="00B80311"/>
    <w:rsid w:val="00B87C52"/>
    <w:rsid w:val="00B9105F"/>
    <w:rsid w:val="00BA0A5B"/>
    <w:rsid w:val="00BB377C"/>
    <w:rsid w:val="00BC05D5"/>
    <w:rsid w:val="00BC3D2D"/>
    <w:rsid w:val="00BF3300"/>
    <w:rsid w:val="00C02277"/>
    <w:rsid w:val="00C02537"/>
    <w:rsid w:val="00C0476B"/>
    <w:rsid w:val="00C122B2"/>
    <w:rsid w:val="00C21102"/>
    <w:rsid w:val="00C27CC4"/>
    <w:rsid w:val="00C30AC9"/>
    <w:rsid w:val="00C32C79"/>
    <w:rsid w:val="00C3684B"/>
    <w:rsid w:val="00C77E26"/>
    <w:rsid w:val="00C9190F"/>
    <w:rsid w:val="00C95575"/>
    <w:rsid w:val="00CA6002"/>
    <w:rsid w:val="00CD0997"/>
    <w:rsid w:val="00CD09DF"/>
    <w:rsid w:val="00CD572E"/>
    <w:rsid w:val="00CE6631"/>
    <w:rsid w:val="00D442E6"/>
    <w:rsid w:val="00D53294"/>
    <w:rsid w:val="00D53369"/>
    <w:rsid w:val="00D546AA"/>
    <w:rsid w:val="00D5581E"/>
    <w:rsid w:val="00D55D68"/>
    <w:rsid w:val="00D6490A"/>
    <w:rsid w:val="00D67AE7"/>
    <w:rsid w:val="00D717B5"/>
    <w:rsid w:val="00D96CB1"/>
    <w:rsid w:val="00DC2A69"/>
    <w:rsid w:val="00DD0D76"/>
    <w:rsid w:val="00DD4B3A"/>
    <w:rsid w:val="00DE71E9"/>
    <w:rsid w:val="00DF5944"/>
    <w:rsid w:val="00E01E89"/>
    <w:rsid w:val="00E06DD2"/>
    <w:rsid w:val="00E07592"/>
    <w:rsid w:val="00E10347"/>
    <w:rsid w:val="00E12C38"/>
    <w:rsid w:val="00E32DA8"/>
    <w:rsid w:val="00E33F5F"/>
    <w:rsid w:val="00E35039"/>
    <w:rsid w:val="00E369EB"/>
    <w:rsid w:val="00E4594D"/>
    <w:rsid w:val="00E50022"/>
    <w:rsid w:val="00E6679A"/>
    <w:rsid w:val="00E7197B"/>
    <w:rsid w:val="00E7691D"/>
    <w:rsid w:val="00E825D9"/>
    <w:rsid w:val="00EA2B85"/>
    <w:rsid w:val="00EC1FC6"/>
    <w:rsid w:val="00ED296F"/>
    <w:rsid w:val="00ED62C7"/>
    <w:rsid w:val="00EE18B7"/>
    <w:rsid w:val="00EF3485"/>
    <w:rsid w:val="00EF6E77"/>
    <w:rsid w:val="00F06C62"/>
    <w:rsid w:val="00F115B2"/>
    <w:rsid w:val="00F45141"/>
    <w:rsid w:val="00F518A6"/>
    <w:rsid w:val="00F7482A"/>
    <w:rsid w:val="00F74B7C"/>
    <w:rsid w:val="00F8032F"/>
    <w:rsid w:val="00F82A4F"/>
    <w:rsid w:val="00F86AAC"/>
    <w:rsid w:val="00FA3AEC"/>
    <w:rsid w:val="00FA5339"/>
    <w:rsid w:val="00FA6B1D"/>
    <w:rsid w:val="00FB5041"/>
    <w:rsid w:val="00FB60F6"/>
    <w:rsid w:val="00FC0F20"/>
    <w:rsid w:val="00FC405E"/>
    <w:rsid w:val="00FC4F4E"/>
    <w:rsid w:val="00FD4CC1"/>
    <w:rsid w:val="00FE4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D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CA97D-F468-4FFE-80B8-6F6FC8A8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22</Pages>
  <Words>5926</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MORGAN Alex</cp:lastModifiedBy>
  <cp:revision>4</cp:revision>
  <dcterms:created xsi:type="dcterms:W3CDTF">2021-10-13T09:51:00Z</dcterms:created>
  <dcterms:modified xsi:type="dcterms:W3CDTF">2021-10-14T09:39:00Z</dcterms:modified>
</cp:coreProperties>
</file>