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74E15C3C"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 </w:instrText>
      </w:r>
      <w:r w:rsidR="00D1449E">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EN.CITE.DATA </w:instrText>
      </w:r>
      <w:r w:rsidR="00D1449E">
        <w:rPr>
          <w:bCs/>
        </w:rPr>
      </w:r>
      <w:r w:rsidR="00D1449E">
        <w:rPr>
          <w:bCs/>
        </w:rPr>
        <w:fldChar w:fldCharType="end"/>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D1449E">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 guid="ec098998-d615-48c4-9f80-94cfe00fae2b"&gt;63&lt;/key&gt;&lt;/foreign-keys&gt;&lt;ref-type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 guid="10e5b524-db9f-4147-b772-cab98439d3b7"&gt;206&lt;/key&gt;&lt;/foreign-keys&gt;&lt;ref-type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21D54DB9"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 </w:instrText>
      </w:r>
      <w:r w:rsidR="00D1449E">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EN.CITE.DATA </w:instrText>
      </w:r>
      <w:r w:rsidR="00D1449E">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D1449E">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 guid="e382f660-5710-4af2-8319-8ec98e15135c"&gt;8&lt;/key&gt;&lt;/foreign-keys&gt;&lt;ref-type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 </w:instrText>
      </w:r>
      <w:r w:rsidR="00D1449E">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EN.CITE.DATA </w:instrText>
      </w:r>
      <w:r w:rsidR="00D1449E">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D1449E">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 guid="05545c94-a316-418b-8367-21156345e45e"&gt;48&lt;/key&gt;&lt;/foreign-keys&gt;&lt;ref-type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metaphylaxis or prophylaxis by 2022</w:t>
      </w:r>
      <w:r w:rsidR="00F545E4">
        <w:t xml:space="preserve"> </w:t>
      </w:r>
      <w:r w:rsidR="00FC2259">
        <w:fldChar w:fldCharType="begin"/>
      </w:r>
      <w:r w:rsidR="00D1449E">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 guid="69bf6331-1fe4-4a82-b9c4-54da6045fb67"&gt;208&lt;/key&gt;&lt;/foreign-keys&gt;&lt;ref-type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D1449E">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 guid="b413ec45-576c-485b-8447-cd1745aec091"&gt;10&lt;/key&gt;&lt;/foreign-keys&gt;&lt;ref-type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4CF17D1"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 </w:instrText>
      </w:r>
      <w:r w:rsidR="00D1449E">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EN.CITE.DATA </w:instrText>
      </w:r>
      <w:r w:rsidR="00D1449E">
        <w:fldChar w:fldCharType="end"/>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 </w:instrText>
      </w:r>
      <w:r w:rsidR="00D1449E">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EN.CITE.DATA </w:instrText>
      </w:r>
      <w:r w:rsidR="00D1449E">
        <w:fldChar w:fldCharType="end"/>
      </w:r>
      <w:r w:rsidR="00250542">
        <w:fldChar w:fldCharType="separate"/>
      </w:r>
      <w:r w:rsidR="005D2ABA">
        <w:rPr>
          <w:noProof/>
        </w:rPr>
        <w:t>(12-17)</w:t>
      </w:r>
      <w:r w:rsidR="00250542">
        <w:fldChar w:fldCharType="end"/>
      </w:r>
      <w:r w:rsidR="00135359">
        <w:t>. Nevertheless</w:t>
      </w:r>
      <w:r>
        <w:t xml:space="preserve">, a significant number of </w:t>
      </w:r>
      <w:r>
        <w:lastRenderedPageBreak/>
        <w:t>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D1449E">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0940F3A7"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D1449E">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 guid="c28fd6ec-a8f0-40d7-baae-25523d52d678"&gt;269&lt;/key&gt;&lt;/foreign-keys&gt;&lt;ref-type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00145" w:rsidRDefault="00670C69" w:rsidP="00713317">
      <w:pPr>
        <w:pStyle w:val="NoSpacing"/>
        <w:spacing w:line="360" w:lineRule="auto"/>
        <w:jc w:val="center"/>
      </w:pPr>
      <w:r>
        <w:rPr>
          <w:noProof/>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580FE765" w:rsidR="00C95575" w:rsidRDefault="008D5DB0" w:rsidP="008D5DB0">
      <w:pPr>
        <w:pStyle w:val="NoSpacing"/>
        <w:spacing w:line="360" w:lineRule="auto"/>
        <w:jc w:val="both"/>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r w:rsidRPr="00D67AE7">
        <w:t>r</w:t>
      </w:r>
      <w:r w:rsidRPr="00D67AE7">
        <w:rPr>
          <w:vertAlign w:val="subscript"/>
        </w:rPr>
        <w:t>H</w:t>
      </w:r>
      <w:r w:rsidRPr="00C96CDC">
        <w:t xml:space="preserve"> and </w:t>
      </w:r>
      <w:r w:rsidRPr="00D67AE7">
        <w:t>r</w:t>
      </w:r>
      <w:r w:rsidRPr="00D67AE7">
        <w:rPr>
          <w:vertAlign w:val="subscript"/>
        </w:rPr>
        <w:t>A</w:t>
      </w:r>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35B8F8B3"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D1449E">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 guid="540fa812-6732-44b7-90f3-420c74b20922"&gt;51&lt;/key&gt;&lt;/foreign-keys&gt;&lt;ref-type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D1449E">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 guid="8b4b6398-54bf-4783-9e58-f3e8531e8a01"&gt;210&lt;/key&gt;&lt;/foreign-keys&gt;&lt;ref-type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w:t>
      </w:r>
      <w:r w:rsidR="00395FA4">
        <w:rPr>
          <w:rFonts w:eastAsiaTheme="minorEastAsia" w:cstheme="minorHAnsi"/>
          <w:iCs/>
        </w:rPr>
        <w:lastRenderedPageBreak/>
        <w:t xml:space="preserve">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 xml:space="preserve">using the “rootSolve”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(1/r</w:t>
      </w:r>
      <w:r w:rsidR="0019711E" w:rsidRPr="005350CF">
        <w:rPr>
          <w:rFonts w:eastAsiaTheme="minorEastAsia" w:cstheme="minorHAnsi"/>
          <w:iCs/>
          <w:vertAlign w:val="subscript"/>
        </w:rPr>
        <w:t>H</w:t>
      </w:r>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5E9890BD"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D1449E">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42D03DFC" w14:textId="77777777" w:rsidR="00B83E5E" w:rsidRDefault="000D2A47" w:rsidP="002D2392">
      <w:pPr>
        <w:pStyle w:val="NoSpacing"/>
        <w:spacing w:line="360" w:lineRule="auto"/>
        <w:jc w:val="both"/>
        <w:rPr>
          <w:rFonts w:cstheme="minorHAnsi"/>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w:t>
      </w:r>
      <w:r w:rsidR="00B9105F" w:rsidRPr="0098412A">
        <w:rPr>
          <w:rFonts w:cstheme="minorHAnsi"/>
        </w:rPr>
        <w:t xml:space="preserve"> </w:t>
      </w:r>
    </w:p>
    <w:p w14:paraId="37553E9E" w14:textId="77777777" w:rsidR="00B83E5E" w:rsidRDefault="00B83E5E" w:rsidP="002D2392">
      <w:pPr>
        <w:pStyle w:val="NoSpacing"/>
        <w:spacing w:line="360" w:lineRule="auto"/>
        <w:jc w:val="both"/>
        <w:rPr>
          <w:rFonts w:cstheme="minorHAnsi"/>
        </w:rPr>
      </w:pPr>
    </w:p>
    <w:p w14:paraId="0A120A92" w14:textId="5C500824" w:rsidR="00F115B2" w:rsidRPr="00B83E5E" w:rsidRDefault="00F115B2" w:rsidP="00C02277">
      <w:pPr>
        <w:pStyle w:val="NoSpacing"/>
        <w:spacing w:line="360" w:lineRule="auto"/>
        <w:jc w:val="both"/>
        <w:rPr>
          <w:rFonts w:eastAsiaTheme="minorEastAsia"/>
          <w:iCs/>
        </w:rPr>
      </w:pPr>
      <w:r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3C4859">
        <w:t>Figure 2)</w:t>
      </w:r>
      <w:r w:rsidR="002D2392" w:rsidRPr="003C4859">
        <w:rPr>
          <w:rFonts w:cstheme="minorHAnsi"/>
        </w:rPr>
        <w:t>.</w:t>
      </w:r>
      <w:r w:rsidR="002D2392">
        <w:rPr>
          <w:rFonts w:cstheme="minorHAnsi"/>
        </w:rPr>
        <w:t xml:space="preserve"> </w:t>
      </w:r>
      <w:r w:rsidR="00097C81">
        <w:t>We note that resistance data was obtained from the European Food Safety Authority</w:t>
      </w:r>
      <w:r w:rsidR="00C24730">
        <w:t xml:space="preserve"> (EFSA)</w:t>
      </w:r>
      <w:r w:rsidR="00097C81">
        <w:t xml:space="preserve"> summary reports. The proportion of isolates </w:t>
      </w:r>
      <w:r w:rsidR="00097C81">
        <w:lastRenderedPageBreak/>
        <w:t>resistant to the specific antibiotic class from carcasses of broiler poultry/fattening pigs</w:t>
      </w:r>
      <w:r w:rsidR="00C24730">
        <w:t xml:space="preserve"> was</w:t>
      </w:r>
      <w:r w:rsidR="00097C81">
        <w:t xml:space="preserve"> extracted from the</w:t>
      </w:r>
      <w:r w:rsidR="00C24730">
        <w:t xml:space="preserve"> respective EFSA</w:t>
      </w:r>
      <w:r w:rsidR="00097C81">
        <w:t xml:space="preserve"> datasets </w:t>
      </w:r>
      <w:r w:rsidR="00097C81"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 </w:instrText>
      </w:r>
      <w:r w:rsidR="00D1449E">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EN.CITE.DATA </w:instrText>
      </w:r>
      <w:r w:rsidR="00D1449E">
        <w:rPr>
          <w:bCs/>
        </w:rPr>
      </w:r>
      <w:r w:rsidR="00D1449E">
        <w:rPr>
          <w:bCs/>
        </w:rPr>
        <w:fldChar w:fldCharType="end"/>
      </w:r>
      <w:r w:rsidR="00097C81" w:rsidRPr="003C4859">
        <w:rPr>
          <w:bCs/>
        </w:rPr>
        <w:fldChar w:fldCharType="separate"/>
      </w:r>
      <w:r w:rsidR="00097C81">
        <w:rPr>
          <w:bCs/>
          <w:noProof/>
        </w:rPr>
        <w:t>(22-27)</w:t>
      </w:r>
      <w:r w:rsidR="00097C81" w:rsidRPr="003C4859">
        <w:rPr>
          <w:bCs/>
        </w:rPr>
        <w:fldChar w:fldCharType="end"/>
      </w:r>
      <w:r w:rsidR="00097C81">
        <w:t xml:space="preserve">. </w:t>
      </w: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456FC948"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 </w:instrText>
      </w:r>
      <w:r w:rsidR="00D1449E">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EN.CITE.DATA </w:instrText>
      </w:r>
      <w:r w:rsidR="00D1449E">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w:t>
      </w:r>
      <w:r w:rsidR="00731899">
        <w:lastRenderedPageBreak/>
        <w:t>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4B1BA38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 </w:instrText>
      </w:r>
      <w:r w:rsidR="00D1449E">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EN.CITE.DATA </w:instrText>
      </w:r>
      <w:r w:rsidR="00D1449E">
        <w:rPr>
          <w:rFonts w:cstheme="minorHAnsi"/>
          <w:bCs/>
        </w:rPr>
      </w:r>
      <w:r w:rsidR="00D1449E">
        <w:rPr>
          <w:rFonts w:cstheme="minorHAnsi"/>
          <w:bCs/>
        </w:rPr>
        <w:fldChar w:fldCharType="end"/>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0BC394DF"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D1449E">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 guid="1ca1753b-301d-488a-830a-39e12632ca04"&gt;226&lt;/key&gt;&lt;/foreign-keys&gt;&lt;ref-type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6023CBE4" w:rsidR="0092729E" w:rsidRDefault="0092729E" w:rsidP="00395FA4">
      <w:pPr>
        <w:pStyle w:val="NoSpacing"/>
        <w:spacing w:line="360" w:lineRule="auto"/>
        <w:jc w:val="both"/>
        <w:rPr>
          <w:rFonts w:cstheme="minorHAnsi"/>
        </w:rPr>
      </w:pPr>
    </w:p>
    <w:p w14:paraId="5851E370" w14:textId="796D6279" w:rsidR="001D18AA" w:rsidRPr="001D18AA" w:rsidRDefault="001D18AA" w:rsidP="00395FA4">
      <w:pPr>
        <w:pStyle w:val="NoSpacing"/>
        <w:spacing w:line="360" w:lineRule="auto"/>
        <w:jc w:val="both"/>
        <w:rPr>
          <w:rFonts w:cstheme="minorHAnsi"/>
          <w:b/>
          <w:u w:val="single"/>
        </w:rPr>
      </w:pPr>
      <w:r w:rsidRPr="001D18AA">
        <w:rPr>
          <w:rFonts w:cstheme="minorHAnsi"/>
          <w:b/>
          <w:u w:val="single"/>
        </w:rPr>
        <w:t xml:space="preserve">Distance Measures/ Summary Statistics </w:t>
      </w:r>
    </w:p>
    <w:p w14:paraId="03B0CEC8" w14:textId="77777777" w:rsidR="001D18AA" w:rsidRDefault="001D18AA" w:rsidP="00395FA4">
      <w:pPr>
        <w:pStyle w:val="NoSpacing"/>
        <w:spacing w:line="360" w:lineRule="auto"/>
        <w:jc w:val="both"/>
        <w:rPr>
          <w:rFonts w:cstheme="minorHAnsi"/>
        </w:rPr>
      </w:pPr>
    </w:p>
    <w:p w14:paraId="2C36C5B3" w14:textId="5821261A"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553B56">
        <w:rPr>
          <w:rFonts w:cstheme="minorHAnsi"/>
        </w:rPr>
        <w:t>)</w:t>
      </w:r>
      <w:r w:rsidR="00BA0A5B">
        <w:rPr>
          <w:rFonts w:cstheme="minorHAnsi"/>
        </w:rPr>
        <w:t xml:space="preserve"> </w:t>
      </w:r>
      <w:r w:rsidR="00553B56">
        <w:rPr>
          <w:rFonts w:cstheme="minorHAnsi"/>
        </w:rPr>
        <w:t>and observed (</w:t>
      </w:r>
      <m:oMath>
        <m:r>
          <w:rPr>
            <w:rFonts w:ascii="Cambria Math" w:hAnsi="Cambria Math" w:cstheme="minorHAnsi"/>
          </w:rPr>
          <m:t>D</m:t>
        </m:r>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2CB13A48" w14:textId="28312D52" w:rsidR="00BA0A5B" w:rsidRDefault="00BA0A5B" w:rsidP="00BA0A5B">
      <w:pPr>
        <w:pStyle w:val="NoSpacing"/>
        <w:spacing w:line="360" w:lineRule="auto"/>
        <w:jc w:val="both"/>
        <w:rPr>
          <w:rFonts w:cstheme="minorHAnsi"/>
        </w:rPr>
      </w:pPr>
      <w:r>
        <w:rPr>
          <w:rFonts w:cstheme="minorHAnsi"/>
        </w:rPr>
        <w:lastRenderedPageBreak/>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 </w:instrText>
      </w:r>
      <w:r w:rsidR="00D1449E">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EN.CITE.DATA </w:instrText>
      </w:r>
      <w:r w:rsidR="00D1449E">
        <w:rPr>
          <w:rFonts w:cstheme="minorHAnsi"/>
        </w:rPr>
      </w:r>
      <w:r w:rsidR="00D1449E">
        <w:rPr>
          <w:rFonts w:cstheme="minorHAnsi"/>
        </w:rPr>
        <w:fldChar w:fldCharType="end"/>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76292915" w14:textId="77777777" w:rsidR="00EC0984" w:rsidRPr="00713317" w:rsidRDefault="00EC0984" w:rsidP="00BA0A5B">
      <w:pPr>
        <w:pStyle w:val="NoSpacing"/>
        <w:spacing w:line="360" w:lineRule="auto"/>
        <w:jc w:val="both"/>
        <w:rPr>
          <w:rFonts w:cstheme="minorHAnsi"/>
          <w:b/>
          <w:bCs/>
          <w:u w:val="single"/>
        </w:rPr>
      </w:pPr>
    </w:p>
    <w:p w14:paraId="330046DC" w14:textId="02EC5578" w:rsidR="001D18A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7FDB5C69"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BD7749">
        <w:rPr>
          <w:rFonts w:eastAsiaTheme="minorEastAsia" w:cstheme="minorHAnsi"/>
        </w:rPr>
        <w:t xml:space="preserve"> </w:t>
      </w:r>
      <w:r w:rsidR="00BD7749">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 </w:instrText>
      </w:r>
      <w:r w:rsidR="00D1449E">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EN.CITE.DATA </w:instrText>
      </w:r>
      <w:r w:rsidR="00D1449E">
        <w:rPr>
          <w:rFonts w:eastAsiaTheme="minorEastAsia" w:cstheme="minorHAnsi"/>
        </w:rPr>
      </w:r>
      <w:r w:rsidR="00D1449E">
        <w:rPr>
          <w:rFonts w:eastAsiaTheme="minorEastAsia" w:cstheme="minorHAnsi"/>
        </w:rPr>
        <w:fldChar w:fldCharType="end"/>
      </w:r>
      <w:r w:rsidR="00BD7749">
        <w:rPr>
          <w:rFonts w:eastAsiaTheme="minorEastAsia" w:cstheme="minorHAnsi"/>
        </w:rPr>
        <w:fldChar w:fldCharType="separate"/>
      </w:r>
      <w:r w:rsidR="00BD7749">
        <w:rPr>
          <w:rFonts w:eastAsiaTheme="minorEastAsia" w:cstheme="minorHAnsi"/>
          <w:noProof/>
        </w:rPr>
        <w:t>(21, 35)</w:t>
      </w:r>
      <w:r w:rsidR="00BD7749">
        <w:rPr>
          <w:rFonts w:eastAsiaTheme="minorEastAsia" w:cstheme="minorHAnsi"/>
        </w:rPr>
        <w:fldChar w:fldCharType="end"/>
      </w:r>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(r</w:t>
      </w:r>
      <w:r w:rsidRPr="00516CFB">
        <w:rPr>
          <w:rFonts w:cstheme="minorHAnsi"/>
          <w:vertAlign w:val="subscript"/>
        </w:rPr>
        <w:t>H</w:t>
      </w:r>
      <w:r>
        <w:rPr>
          <w:rFonts w:cstheme="minorHAnsi"/>
        </w:rPr>
        <w:t>, r</w:t>
      </w:r>
      <w:r w:rsidRPr="00516CFB">
        <w:rPr>
          <w:rFonts w:cstheme="minorHAnsi"/>
          <w:vertAlign w:val="subscript"/>
        </w:rPr>
        <w:t>A</w:t>
      </w:r>
      <w:r>
        <w:rPr>
          <w:rFonts w:cstheme="minorHAnsi"/>
        </w:rPr>
        <w:t>, μ</w:t>
      </w:r>
      <w:r w:rsidRPr="00516CFB">
        <w:rPr>
          <w:rFonts w:cstheme="minorHAnsi"/>
          <w:vertAlign w:val="subscript"/>
        </w:rPr>
        <w:t>A</w:t>
      </w:r>
      <w:r>
        <w:rPr>
          <w:rFonts w:cstheme="minorHAnsi"/>
        </w:rPr>
        <w:t xml:space="preserve"> and μ</w:t>
      </w:r>
      <w:r w:rsidRPr="00516CFB">
        <w:rPr>
          <w:rFonts w:cstheme="minorHAnsi"/>
          <w:vertAlign w:val="subscript"/>
        </w:rPr>
        <w:t>H</w:t>
      </w:r>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347EF5AF" w14:textId="2367765C" w:rsidR="004874DA" w:rsidRDefault="008D5DB0" w:rsidP="004874DA">
      <w:pPr>
        <w:pStyle w:val="NoSpacing"/>
        <w:spacing w:line="360" w:lineRule="auto"/>
        <w:jc w:val="both"/>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(ε)</w:t>
      </w:r>
      <w:r w:rsidR="004874DA">
        <w:rPr>
          <w:rFonts w:cstheme="minorHAnsi"/>
        </w:rPr>
        <w:t xml:space="preserve"> were required for each of the three summary statistics </w:t>
      </w:r>
      <w:r w:rsidR="00E4516E">
        <w:rPr>
          <w:rFonts w:cstheme="minorHAnsi"/>
        </w:rPr>
        <w:t>(</w:t>
      </w:r>
      <m:oMath>
        <m:r>
          <w:rPr>
            <w:rFonts w:ascii="Cambria Math" w:hAnsi="Cambria Math" w:cstheme="minorHAnsi"/>
          </w:rPr>
          <m:t>m=3</m:t>
        </m:r>
      </m:oMath>
      <w:r w:rsidR="00E4516E">
        <w:rPr>
          <w:rFonts w:cstheme="minorHAnsi"/>
        </w:rPr>
        <w:t>) for each generation, calculating the difference between the modelled summary statistic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E4516E">
        <w:rPr>
          <w:rFonts w:cstheme="minorHAnsi"/>
        </w:rPr>
        <w:t>) and the data (</w:t>
      </w:r>
      <m:oMath>
        <m:r>
          <w:rPr>
            <w:rFonts w:ascii="Cambria Math" w:hAnsi="Cambria Math" w:cstheme="minorHAnsi"/>
          </w:rPr>
          <m:t>D</m:t>
        </m:r>
      </m:oMath>
      <w:r w:rsidR="00E4516E">
        <w:rPr>
          <w:rFonts w:cstheme="minorHAnsi"/>
        </w:rPr>
        <w:t>),</w:t>
      </w:r>
      <w:r w:rsidR="008302D6">
        <w:rPr>
          <w:rFonts w:cstheme="minorHAnsi"/>
        </w:rPr>
        <w:t xml:space="preserve"> </w:t>
      </w:r>
      <m:oMath>
        <m:r>
          <w:rPr>
            <w:rFonts w:ascii="Cambria Math" w:hAnsi="Cambria Math" w:cstheme="minorHAnsi"/>
          </w:rPr>
          <m:t>d(D,</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r>
          <w:rPr>
            <w:rFonts w:ascii="Cambria Math" w:hAnsi="Cambria Math" w:cstheme="minorHAnsi"/>
          </w:rPr>
          <m:t>)</m:t>
        </m:r>
      </m:oMath>
      <w:r w:rsidR="00E4516E">
        <w:rPr>
          <w:rFonts w:cstheme="minorHAnsi"/>
        </w:rPr>
        <w:t>. These thresholds</w:t>
      </w:r>
      <w:r w:rsidR="002534CB" w:rsidRPr="00D67AE7">
        <w:rPr>
          <w:rFonts w:cstheme="minorHAnsi"/>
        </w:rPr>
        <w:t xml:space="preserve">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D1449E">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t>
      </w:r>
      <w:r w:rsidR="00CC042B" w:rsidRPr="003C4859">
        <w:lastRenderedPageBreak/>
        <w:t xml:space="preserve">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w:t>
      </w:r>
      <w:r w:rsidR="004874DA">
        <w:rPr>
          <w:rFonts w:cstheme="minorHAnsi"/>
        </w:rPr>
        <w:t xml:space="preserve"> </w:t>
      </w:r>
      <w:r w:rsidR="004874DA">
        <w:t xml:space="preserve">An intersection metric was used to ensure that accepted particles satisfied tolerance values set for </w:t>
      </w:r>
      <w:r w:rsidR="00E4516E">
        <w:t>the distance measure for each calculated for each summary statistic per generation.</w:t>
      </w:r>
    </w:p>
    <w:p w14:paraId="0444889F" w14:textId="5439F575" w:rsidR="00E4516E" w:rsidRDefault="00E4516E" w:rsidP="004874DA">
      <w:pPr>
        <w:pStyle w:val="NoSpacing"/>
        <w:spacing w:line="360" w:lineRule="auto"/>
        <w:jc w:val="both"/>
      </w:pPr>
    </w:p>
    <w:p w14:paraId="216B6D0A" w14:textId="40E304C7" w:rsidR="00F8032F" w:rsidRPr="008302D6" w:rsidRDefault="008302D6" w:rsidP="008D5DB0">
      <w:pPr>
        <w:pStyle w:val="NoSpacing"/>
        <w:spacing w:line="360" w:lineRule="auto"/>
        <w:jc w:val="both"/>
      </w:pPr>
      <m:oMathPara>
        <m:oMath>
          <m:r>
            <m:rPr>
              <m:sty m:val="p"/>
            </m:rP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cr m:val="double-struck"/>
                  <m:sty m:val="p"/>
                </m:rPr>
                <w:rPr>
                  <w:rStyle w:val="Strong"/>
                  <w:rFonts w:ascii="Cambria Math" w:hAnsi="Cambria Math" w:cs="Cambria Math"/>
                  <w:color w:val="202122"/>
                  <w:sz w:val="21"/>
                  <w:szCs w:val="21"/>
                  <w:shd w:val="clear" w:color="auto" w:fill="FFFFFF"/>
                </w:rPr>
                <m:t>1</m:t>
              </m:r>
              <m:d>
                <m:dPr>
                  <m:ctrlPr>
                    <w:rPr>
                      <w:rStyle w:val="Strong"/>
                      <w:rFonts w:ascii="Cambria Math" w:hAnsi="Cambria Math" w:cs="Cambria Math"/>
                      <w:b w:val="0"/>
                      <w:bCs w:val="0"/>
                      <w:color w:val="202122"/>
                      <w:sz w:val="21"/>
                      <w:szCs w:val="21"/>
                      <w:shd w:val="clear" w:color="auto" w:fill="FFFFFF"/>
                    </w:rPr>
                  </m:ctrlPr>
                </m:dPr>
                <m:e>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d</m:t>
                      </m:r>
                    </m:e>
                    <m:sub>
                      <m:r>
                        <w:rPr>
                          <w:rStyle w:val="Strong"/>
                          <w:rFonts w:ascii="Cambria Math" w:hAnsi="Cambria Math" w:cs="Cambria Math"/>
                          <w:color w:val="202122"/>
                          <w:sz w:val="21"/>
                          <w:szCs w:val="21"/>
                          <w:shd w:val="clear" w:color="auto" w:fill="FFFFFF"/>
                        </w:rPr>
                        <m:t>i</m:t>
                      </m:r>
                    </m:sub>
                  </m:sSub>
                  <m:d>
                    <m:dPr>
                      <m:ctrlPr>
                        <w:rPr>
                          <w:rStyle w:val="Strong"/>
                          <w:rFonts w:ascii="Cambria Math" w:hAnsi="Cambria Math" w:cs="Cambria Math"/>
                          <w:b w:val="0"/>
                          <w:bCs w:val="0"/>
                          <w:i/>
                          <w:color w:val="202122"/>
                          <w:sz w:val="21"/>
                          <w:szCs w:val="21"/>
                          <w:shd w:val="clear" w:color="auto" w:fill="FFFFFF"/>
                        </w:rPr>
                      </m:ctrlPr>
                    </m:dPr>
                    <m:e>
                      <m:r>
                        <w:rPr>
                          <w:rStyle w:val="Strong"/>
                          <w:rFonts w:ascii="Cambria Math" w:hAnsi="Cambria Math" w:cs="Cambria Math"/>
                          <w:color w:val="202122"/>
                          <w:sz w:val="21"/>
                          <w:szCs w:val="21"/>
                          <w:shd w:val="clear" w:color="auto" w:fill="FFFFFF"/>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Style w:val="Strong"/>
                      <w:rFonts w:ascii="Cambria Math" w:hAnsi="Cambria Math" w:cs="Cambria Math"/>
                      <w:color w:val="202122"/>
                      <w:sz w:val="21"/>
                      <w:szCs w:val="21"/>
                      <w:shd w:val="clear" w:color="auto" w:fill="FFFFFF"/>
                    </w:rPr>
                    <m:t>≤</m:t>
                  </m:r>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ε</m:t>
                      </m:r>
                    </m:e>
                    <m:sub>
                      <m:r>
                        <w:rPr>
                          <w:rStyle w:val="Strong"/>
                          <w:rFonts w:ascii="Cambria Math" w:hAnsi="Cambria Math" w:cs="Cambria Math"/>
                          <w:color w:val="202122"/>
                          <w:sz w:val="21"/>
                          <w:szCs w:val="21"/>
                          <w:shd w:val="clear" w:color="auto" w:fill="FFFFFF"/>
                        </w:rPr>
                        <m:t>i</m:t>
                      </m:r>
                    </m:sub>
                  </m:sSub>
                </m:e>
              </m:d>
            </m:e>
          </m:nary>
        </m:oMath>
      </m:oMathPara>
    </w:p>
    <w:p w14:paraId="6AFBFB93" w14:textId="77777777" w:rsidR="00F8032F" w:rsidRDefault="00F8032F" w:rsidP="008D5DB0">
      <w:pPr>
        <w:pStyle w:val="NoSpacing"/>
        <w:spacing w:line="360" w:lineRule="auto"/>
        <w:jc w:val="both"/>
        <w:rPr>
          <w:rFonts w:cstheme="minorHAnsi"/>
        </w:rPr>
      </w:pPr>
    </w:p>
    <w:p w14:paraId="0AA62008" w14:textId="7644F637" w:rsidR="00CD09DF" w:rsidRPr="00A339C8" w:rsidRDefault="00CC0A96" w:rsidP="008D5DB0">
      <w:pPr>
        <w:pStyle w:val="NoSpacing"/>
        <w:spacing w:line="360" w:lineRule="auto"/>
        <w:jc w:val="both"/>
        <w:rPr>
          <w:rFonts w:cstheme="minorHAnsi"/>
        </w:rPr>
      </w:pPr>
      <w:r>
        <w:rPr>
          <w:rFonts w:cstheme="minorHAnsi"/>
        </w:rPr>
        <w:t>Mean</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439F12F4"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D1449E">
        <w:rPr>
          <w:bCs/>
        </w:rPr>
        <w:instrText xml:space="preserve"> ADDIN EN.CITE &lt;EndNote&gt;&lt;Cite&gt;&lt;Author&gt;Saltelli&lt;/Author&gt;&lt;Year&gt;1998&lt;/Year&gt;&lt;RecNum&gt;270&lt;/RecNum&gt;&lt;DisplayText&gt;(36)&lt;/DisplayText&gt;&lt;record&gt;&lt;rec-number&gt;270&lt;/rec-number&gt;&lt;foreign-keys&gt;&lt;key app="EN" db-id="fsts22ax5rxrp6ea59ipwpp69ts0e0ft9etx" timestamp="1635175674" guid="7961a906-cbb4-4b42-9d69-6151d5fc29a8"&gt;270&lt;/key&gt;&lt;/foreign-keys&gt;&lt;ref-type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BD7749">
        <w:rPr>
          <w:bCs/>
          <w:noProof/>
        </w:rPr>
        <w:t>(36)</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0333476E" w14:textId="6AA9926B" w:rsidR="008D5DB0" w:rsidRDefault="00BD7749"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0503ED4" w14:textId="5CE64FFB" w:rsidR="00A96328" w:rsidRDefault="00A96328" w:rsidP="008D5DB0">
      <w:pPr>
        <w:pStyle w:val="NoSpacing"/>
        <w:spacing w:line="360" w:lineRule="auto"/>
        <w:jc w:val="both"/>
        <w:rPr>
          <w:rFonts w:cstheme="minorHAnsi"/>
        </w:rPr>
      </w:pPr>
    </w:p>
    <w:p w14:paraId="0A973D22" w14:textId="6710F8DF" w:rsidR="00BC500C" w:rsidRDefault="00BC500C" w:rsidP="008D5DB0">
      <w:pPr>
        <w:pStyle w:val="NoSpacing"/>
        <w:spacing w:line="360" w:lineRule="auto"/>
        <w:jc w:val="both"/>
        <w:rPr>
          <w:rFonts w:cstheme="minorHAnsi"/>
        </w:rPr>
      </w:pPr>
    </w:p>
    <w:p w14:paraId="112873B5" w14:textId="57EBA16C" w:rsidR="00BC500C" w:rsidRDefault="00BC500C" w:rsidP="008D5DB0">
      <w:pPr>
        <w:pStyle w:val="NoSpacing"/>
        <w:spacing w:line="360" w:lineRule="auto"/>
        <w:jc w:val="both"/>
        <w:rPr>
          <w:rFonts w:cstheme="minorHAnsi"/>
        </w:rPr>
      </w:pPr>
    </w:p>
    <w:p w14:paraId="059C8EB2" w14:textId="621AE9B3" w:rsidR="00BC500C" w:rsidRDefault="00BC500C" w:rsidP="008D5DB0">
      <w:pPr>
        <w:pStyle w:val="NoSpacing"/>
        <w:spacing w:line="360" w:lineRule="auto"/>
        <w:jc w:val="both"/>
        <w:rPr>
          <w:rFonts w:cstheme="minorHAnsi"/>
        </w:rPr>
      </w:pPr>
    </w:p>
    <w:p w14:paraId="3D846A38" w14:textId="77777777" w:rsidR="00BC500C" w:rsidRDefault="00BC500C" w:rsidP="008D5DB0">
      <w:pPr>
        <w:pStyle w:val="NoSpacing"/>
        <w:spacing w:line="360" w:lineRule="auto"/>
        <w:jc w:val="both"/>
        <w:rPr>
          <w:rFonts w:cstheme="minorHAnsi"/>
        </w:rPr>
      </w:pPr>
    </w:p>
    <w:p w14:paraId="7D7BDD95" w14:textId="7D7DA7DD" w:rsidR="008D5DB0" w:rsidRDefault="008C784C" w:rsidP="008D5DB0">
      <w:pPr>
        <w:pStyle w:val="NoSpacing"/>
        <w:spacing w:line="360" w:lineRule="auto"/>
        <w:jc w:val="center"/>
        <w:rPr>
          <w:rFonts w:cstheme="minorHAnsi"/>
        </w:rPr>
      </w:pPr>
      <w:r>
        <w:rPr>
          <w:noProof/>
        </w:rPr>
        <w:lastRenderedPageBreak/>
        <w:drawing>
          <wp:inline distT="0" distB="0" distL="0" distR="0" wp14:anchorId="76103590" wp14:editId="4161B840">
            <wp:extent cx="5573456" cy="5105400"/>
            <wp:effectExtent l="0" t="0" r="825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7446" cy="5145696"/>
                    </a:xfrm>
                    <a:prstGeom prst="rect">
                      <a:avLst/>
                    </a:prstGeom>
                    <a:noFill/>
                    <a:ln>
                      <a:noFill/>
                    </a:ln>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BB949AB"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Pr>
          <w:rFonts w:cstheme="minorHAnsi"/>
        </w:rPr>
        <w:lastRenderedPageBreak/>
        <w:t>a</w:t>
      </w:r>
      <w:r w:rsidRPr="00D67AE7">
        <w:rPr>
          <w:rFonts w:cstheme="minorHAnsi"/>
        </w:rPr>
        <w:t xml:space="preserve">ntibiotic-resistant to antibiotic-sensitive reversion rate </w:t>
      </w:r>
      <w:r w:rsidRPr="003C4859">
        <w:rPr>
          <w:rFonts w:cstheme="minorHAnsi"/>
        </w:rPr>
        <w:t xml:space="preserve">(φ) </w:t>
      </w:r>
      <w:r w:rsidR="00CC0A96">
        <w:rPr>
          <w:rFonts w:cstheme="minorHAnsi"/>
        </w:rPr>
        <w:t xml:space="preserve">and </w:t>
      </w:r>
      <w:r w:rsidR="00CC0A96" w:rsidRPr="00D67AE7">
        <w:rPr>
          <w:rFonts w:cstheme="minorHAnsi"/>
        </w:rPr>
        <w:t>efficacy of antibiotic-mediated recovery in livestock (</w:t>
      </w:r>
      <w:r w:rsidR="00CC0A96">
        <w:rPr>
          <w:rFonts w:cstheme="minorHAnsi"/>
        </w:rPr>
        <w:t>κ</w:t>
      </w:r>
      <w:r w:rsidR="00CC0A96" w:rsidRPr="00D67AE7">
        <w:rPr>
          <w:rFonts w:cstheme="minorHAnsi"/>
        </w:rPr>
        <w:t>)</w:t>
      </w:r>
      <w:r w:rsidR="00CC0A96">
        <w:rPr>
          <w:rFonts w:cstheme="minorHAnsi"/>
        </w:rPr>
        <w:t xml:space="preserve"> </w:t>
      </w:r>
      <w:r w:rsidRPr="003C4859">
        <w:rPr>
          <w:rFonts w:cstheme="minorHAnsi"/>
        </w:rPr>
        <w:t>(Figure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3CC7D25" w:rsidR="008D5DB0" w:rsidRPr="00D67AE7" w:rsidRDefault="008D5DB0" w:rsidP="008D5DB0">
      <w:pPr>
        <w:pStyle w:val="NoSpacing"/>
        <w:spacing w:line="360" w:lineRule="auto"/>
        <w:jc w:val="both"/>
        <w:rPr>
          <w:rFonts w:cstheme="minorHAnsi"/>
        </w:rPr>
      </w:pPr>
      <w:r w:rsidRPr="00390386">
        <w:rPr>
          <w:rFonts w:cstheme="minorHAnsi"/>
        </w:rPr>
        <w:t>Using the fitted parameter values, the overall</w:t>
      </w:r>
      <w:r w:rsidR="0053516F" w:rsidRPr="00390386">
        <w:rPr>
          <w:rFonts w:cstheme="minorHAnsi"/>
        </w:rPr>
        <w:t xml:space="preserve"> EU averaged</w:t>
      </w:r>
      <w:r w:rsidRPr="00390386">
        <w:rPr>
          <w:rFonts w:cstheme="minorHAnsi"/>
        </w:rPr>
        <w:t xml:space="preserve"> </w:t>
      </w:r>
      <w:r w:rsidR="0053516F" w:rsidRPr="00390386">
        <w:rPr>
          <w:rFonts w:cstheme="minorHAnsi"/>
        </w:rPr>
        <w:t xml:space="preserve">daily incidence of human salmonellosis </w:t>
      </w:r>
      <w:r w:rsidRPr="00390386">
        <w:rPr>
          <w:rFonts w:cstheme="minorHAnsi"/>
        </w:rPr>
        <w:t xml:space="preserve">and the </w:t>
      </w:r>
      <w:r w:rsidR="0053516F" w:rsidRPr="00390386">
        <w:rPr>
          <w:rFonts w:cstheme="minorHAnsi"/>
        </w:rPr>
        <w:t xml:space="preserve">daily </w:t>
      </w:r>
      <w:r w:rsidRPr="00390386">
        <w:rPr>
          <w:rFonts w:cstheme="minorHAnsi"/>
        </w:rPr>
        <w:t>proportion of antibiotic-resistant human salmonellosis (</w:t>
      </w:r>
      <w:r w:rsidR="000D0F05" w:rsidRPr="00390386">
        <w:rPr>
          <w:rFonts w:cstheme="minorHAnsi"/>
        </w:rPr>
        <w:t>I</w:t>
      </w:r>
      <w:r w:rsidR="000D0F05" w:rsidRPr="00390386">
        <w:rPr>
          <w:rFonts w:cstheme="minorHAnsi"/>
          <w:vertAlign w:val="superscript"/>
        </w:rPr>
        <w:t>*</w:t>
      </w:r>
      <w:r w:rsidR="000D0F05" w:rsidRPr="00390386">
        <w:rPr>
          <w:rFonts w:cstheme="minorHAnsi"/>
          <w:vertAlign w:val="subscript"/>
        </w:rPr>
        <w:t>RH</w:t>
      </w:r>
      <w:r w:rsidR="0018541F" w:rsidRPr="00390386">
        <w:rPr>
          <w:rFonts w:cstheme="minorHAnsi"/>
          <w:vertAlign w:val="subscript"/>
        </w:rPr>
        <w:t>Prop</w:t>
      </w:r>
      <w:r w:rsidRPr="00390386">
        <w:rPr>
          <w:rFonts w:cstheme="minorHAnsi"/>
        </w:rPr>
        <w:t xml:space="preserve">) was modelled at: </w:t>
      </w:r>
      <w:r w:rsidR="0053516F" w:rsidRPr="00390386">
        <w:rPr>
          <w:rFonts w:cstheme="minorHAnsi"/>
        </w:rPr>
        <w:t>0.59</w:t>
      </w:r>
      <w:r w:rsidR="00390386" w:rsidRPr="00390386">
        <w:rPr>
          <w:rFonts w:cstheme="minorHAnsi"/>
        </w:rPr>
        <w:t>5</w:t>
      </w:r>
      <w:r w:rsidRPr="00390386">
        <w:rPr>
          <w:rFonts w:cstheme="minorHAnsi"/>
        </w:rPr>
        <w:t xml:space="preserve"> per 100,000 population and 0.3</w:t>
      </w:r>
      <w:r w:rsidR="00390386" w:rsidRPr="00390386">
        <w:rPr>
          <w:rFonts w:cstheme="minorHAnsi"/>
        </w:rPr>
        <w:t>01</w:t>
      </w:r>
      <w:r w:rsidRPr="00390386">
        <w:rPr>
          <w:rFonts w:cstheme="minorHAnsi"/>
        </w:rPr>
        <w:t xml:space="preserve"> for the </w:t>
      </w:r>
      <w:r w:rsidR="0053516F" w:rsidRPr="00390386">
        <w:rPr>
          <w:rFonts w:cstheme="minorHAnsi"/>
        </w:rPr>
        <w:t>ampicillin</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broiler poultry</w:t>
      </w:r>
      <w:r w:rsidRPr="00390386">
        <w:rPr>
          <w:rFonts w:cstheme="minorHAnsi"/>
        </w:rPr>
        <w:t xml:space="preserve"> case study at baseline </w:t>
      </w:r>
      <w:r w:rsidR="0053516F" w:rsidRPr="00390386">
        <w:rPr>
          <w:rFonts w:cstheme="minorHAnsi"/>
        </w:rPr>
        <w:t>ampicillin</w:t>
      </w:r>
      <w:r w:rsidRPr="00390386">
        <w:rPr>
          <w:rFonts w:cstheme="minorHAnsi"/>
        </w:rPr>
        <w:t xml:space="preserve"> usage (τ = </w:t>
      </w:r>
      <w:r w:rsidR="005D760A" w:rsidRPr="00390386">
        <w:rPr>
          <w:bCs/>
        </w:rPr>
        <w:t>0.0049 g/PCU</w:t>
      </w:r>
      <w:r w:rsidRPr="00390386">
        <w:rPr>
          <w:rFonts w:cstheme="minorHAnsi"/>
        </w:rPr>
        <w:t xml:space="preserve">). </w:t>
      </w:r>
      <w:r w:rsidR="0053516F" w:rsidRPr="00390386">
        <w:rPr>
          <w:rFonts w:cstheme="minorHAnsi"/>
        </w:rPr>
        <w:t>0.</w:t>
      </w:r>
      <w:r w:rsidR="00390386" w:rsidRPr="00390386">
        <w:rPr>
          <w:rFonts w:cstheme="minorHAnsi"/>
        </w:rPr>
        <w:t>600</w:t>
      </w:r>
      <w:r w:rsidRPr="00390386">
        <w:rPr>
          <w:rFonts w:cstheme="minorHAnsi"/>
        </w:rPr>
        <w:t xml:space="preserve"> per 100,000 population and 0.3</w:t>
      </w:r>
      <w:r w:rsidR="00390386" w:rsidRPr="00390386">
        <w:rPr>
          <w:rFonts w:cstheme="minorHAnsi"/>
        </w:rPr>
        <w:t>56</w:t>
      </w:r>
      <w:r w:rsidRPr="00390386">
        <w:rPr>
          <w:rFonts w:cstheme="minorHAnsi"/>
        </w:rPr>
        <w:t xml:space="preserve"> for the </w:t>
      </w:r>
      <w:r w:rsidR="0053516F" w:rsidRPr="00390386">
        <w:rPr>
          <w:rFonts w:cstheme="minorHAnsi"/>
        </w:rPr>
        <w:t>tetracycline</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 xml:space="preserve">broiler poultry </w:t>
      </w:r>
      <w:r w:rsidRPr="00390386">
        <w:rPr>
          <w:rFonts w:cstheme="minorHAnsi"/>
        </w:rPr>
        <w:t xml:space="preserve">case study at baseline </w:t>
      </w:r>
      <w:r w:rsidR="0053516F" w:rsidRPr="00390386">
        <w:rPr>
          <w:rFonts w:cstheme="minorHAnsi"/>
        </w:rPr>
        <w:t>tetracycline</w:t>
      </w:r>
      <w:r w:rsidRPr="00390386">
        <w:rPr>
          <w:rFonts w:cstheme="minorHAnsi"/>
        </w:rPr>
        <w:t xml:space="preserve"> usage (τ = </w:t>
      </w:r>
      <w:r w:rsidR="005D760A" w:rsidRPr="00390386">
        <w:rPr>
          <w:bCs/>
        </w:rPr>
        <w:t xml:space="preserve">0.0069 </w:t>
      </w:r>
      <w:r w:rsidRPr="00390386">
        <w:rPr>
          <w:rFonts w:cstheme="minorHAnsi"/>
        </w:rPr>
        <w:t>g/PCU)</w:t>
      </w:r>
      <w:r w:rsidR="0053516F" w:rsidRPr="00390386">
        <w:rPr>
          <w:rFonts w:cstheme="minorHAnsi"/>
        </w:rPr>
        <w:t>.</w:t>
      </w:r>
      <w:r w:rsidRPr="00390386">
        <w:rPr>
          <w:rFonts w:cstheme="minorHAnsi"/>
        </w:rPr>
        <w:t xml:space="preserve"> </w:t>
      </w:r>
      <w:r w:rsidR="0053516F" w:rsidRPr="00390386">
        <w:rPr>
          <w:rFonts w:cstheme="minorHAnsi"/>
        </w:rPr>
        <w:t>0.59</w:t>
      </w:r>
      <w:r w:rsidR="00390386" w:rsidRPr="00390386">
        <w:rPr>
          <w:rFonts w:cstheme="minorHAnsi"/>
        </w:rPr>
        <w:t>8</w:t>
      </w:r>
      <w:r w:rsidR="0053516F" w:rsidRPr="00390386">
        <w:rPr>
          <w:rFonts w:cstheme="minorHAnsi"/>
        </w:rPr>
        <w:t xml:space="preserve"> per 100,000 population and 0.3</w:t>
      </w:r>
      <w:r w:rsidR="00390386" w:rsidRPr="00390386">
        <w:rPr>
          <w:rFonts w:cstheme="minorHAnsi"/>
        </w:rPr>
        <w:t>49</w:t>
      </w:r>
      <w:r w:rsidR="0053516F" w:rsidRPr="00390386">
        <w:rPr>
          <w:rFonts w:cstheme="minorHAnsi"/>
        </w:rPr>
        <w:t xml:space="preserve"> for the ampicillin-resistant human salmonellosis from the fattening pigs case study at baseline ampicillin usage (τ = </w:t>
      </w:r>
      <w:r w:rsidR="005D760A" w:rsidRPr="00390386">
        <w:rPr>
          <w:bCs/>
        </w:rPr>
        <w:t xml:space="preserve">0.0125 </w:t>
      </w:r>
      <w:r w:rsidR="0053516F" w:rsidRPr="00390386">
        <w:rPr>
          <w:rFonts w:cstheme="minorHAnsi"/>
        </w:rPr>
        <w:t>g/PCU). 0.</w:t>
      </w:r>
      <w:r w:rsidR="00390386" w:rsidRPr="00390386">
        <w:rPr>
          <w:rFonts w:cstheme="minorHAnsi"/>
        </w:rPr>
        <w:t>601</w:t>
      </w:r>
      <w:r w:rsidRPr="00390386">
        <w:rPr>
          <w:rFonts w:cstheme="minorHAnsi"/>
        </w:rPr>
        <w:t xml:space="preserve"> per 100,000 population and 0.3</w:t>
      </w:r>
      <w:r w:rsidR="00390386" w:rsidRPr="00390386">
        <w:rPr>
          <w:rFonts w:cstheme="minorHAnsi"/>
        </w:rPr>
        <w:t>42</w:t>
      </w:r>
      <w:r w:rsidRPr="00390386">
        <w:rPr>
          <w:rFonts w:cstheme="minorHAnsi"/>
        </w:rPr>
        <w:t xml:space="preserve"> for the tetracycline-resistant human salmonellosis from </w:t>
      </w:r>
      <w:r w:rsidR="0053516F" w:rsidRPr="00390386">
        <w:rPr>
          <w:rFonts w:cstheme="minorHAnsi"/>
        </w:rPr>
        <w:t xml:space="preserve">the fattening pigs </w:t>
      </w:r>
      <w:r w:rsidRPr="00390386">
        <w:rPr>
          <w:rFonts w:cstheme="minorHAnsi"/>
        </w:rPr>
        <w:t xml:space="preserve">case study at baseline tetracycline usage (τ = </w:t>
      </w:r>
      <w:r w:rsidR="005D760A" w:rsidRPr="00390386">
        <w:rPr>
          <w:bCs/>
        </w:rPr>
        <w:t xml:space="preserve">0.01305 </w:t>
      </w:r>
      <w:r w:rsidRPr="00390386">
        <w:rPr>
          <w:rFonts w:cstheme="minorHAnsi"/>
        </w:rPr>
        <w:t>g/PCU) (</w:t>
      </w:r>
      <w:r w:rsidR="008B1C3F" w:rsidRPr="00390386">
        <w:rPr>
          <w:rFonts w:cstheme="minorHAnsi"/>
        </w:rPr>
        <w:t>Figure 4</w:t>
      </w:r>
      <w:r w:rsidRPr="00390386">
        <w:rPr>
          <w:rFonts w:cstheme="minorHAnsi"/>
        </w:rPr>
        <w:t>).</w:t>
      </w:r>
      <w:r w:rsidRPr="00D67AE7">
        <w:rPr>
          <w:rFonts w:cstheme="minorHAnsi"/>
        </w:rPr>
        <w:t xml:space="preserve"> </w:t>
      </w:r>
    </w:p>
    <w:p w14:paraId="2F9A4606" w14:textId="1BEBB94B" w:rsidR="0053516F" w:rsidRDefault="0053516F" w:rsidP="00F06C62">
      <w:pPr>
        <w:pStyle w:val="NoSpacing"/>
        <w:spacing w:line="360" w:lineRule="auto"/>
        <w:rPr>
          <w:rFonts w:cstheme="minorHAnsi"/>
        </w:rPr>
      </w:pPr>
    </w:p>
    <w:p w14:paraId="3D3028A5" w14:textId="7B9416D5" w:rsidR="00BC500C" w:rsidRDefault="00BC500C" w:rsidP="00F06C62">
      <w:pPr>
        <w:pStyle w:val="NoSpacing"/>
        <w:spacing w:line="360" w:lineRule="auto"/>
        <w:rPr>
          <w:rFonts w:cstheme="minorHAnsi"/>
        </w:rPr>
      </w:pPr>
    </w:p>
    <w:p w14:paraId="7B3CE1DC" w14:textId="69B1B81E" w:rsidR="00BC500C" w:rsidRDefault="00BC500C" w:rsidP="00F06C62">
      <w:pPr>
        <w:pStyle w:val="NoSpacing"/>
        <w:spacing w:line="360" w:lineRule="auto"/>
        <w:rPr>
          <w:rFonts w:cstheme="minorHAnsi"/>
        </w:rPr>
      </w:pPr>
    </w:p>
    <w:p w14:paraId="61F15932" w14:textId="77777777" w:rsidR="00BC500C" w:rsidRDefault="00BC500C" w:rsidP="00F06C62">
      <w:pPr>
        <w:pStyle w:val="NoSpacing"/>
        <w:spacing w:line="360" w:lineRule="auto"/>
        <w:rPr>
          <w:rFonts w:cstheme="minorHAnsi"/>
        </w:rPr>
      </w:pPr>
    </w:p>
    <w:p w14:paraId="7ED2032D" w14:textId="631A04C5" w:rsidR="0018541F" w:rsidRPr="00927353" w:rsidRDefault="008C784C" w:rsidP="008D5DB0">
      <w:pPr>
        <w:pStyle w:val="NoSpacing"/>
        <w:spacing w:line="360" w:lineRule="auto"/>
        <w:jc w:val="center"/>
        <w:rPr>
          <w:rFonts w:cstheme="minorHAnsi"/>
        </w:rPr>
      </w:pPr>
      <w:r>
        <w:rPr>
          <w:noProof/>
        </w:rPr>
        <w:lastRenderedPageBreak/>
        <w:drawing>
          <wp:inline distT="0" distB="0" distL="0" distR="0" wp14:anchorId="5F855FF9" wp14:editId="39AA35BF">
            <wp:extent cx="5731510" cy="468820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4A1826B0" w14:textId="46A43F93"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627D70D" w14:textId="77777777" w:rsidR="00880247" w:rsidRDefault="00880247" w:rsidP="008D5DB0">
      <w:pPr>
        <w:pStyle w:val="NoSpacing"/>
        <w:spacing w:line="360" w:lineRule="auto"/>
        <w:jc w:val="both"/>
        <w:rPr>
          <w:rFonts w:cstheme="minorHAnsi"/>
          <w:bCs/>
        </w:rPr>
      </w:pPr>
    </w:p>
    <w:p w14:paraId="23BF27AB" w14:textId="7A44271D"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w:t>
      </w:r>
      <w:r w:rsidRPr="00394BCD">
        <w:rPr>
          <w:rFonts w:cstheme="minorHAnsi"/>
        </w:rPr>
        <w:t>usage (τ → 0 g/PCU) resulted in small increases in</w:t>
      </w:r>
      <w:r w:rsidR="00B23C09" w:rsidRPr="00394BCD">
        <w:rPr>
          <w:rFonts w:cstheme="minorHAnsi"/>
        </w:rPr>
        <w:t xml:space="preserve"> the daily incidence rel</w:t>
      </w:r>
      <w:r w:rsidRPr="00394BCD">
        <w:rPr>
          <w:rFonts w:cstheme="minorHAnsi"/>
        </w:rPr>
        <w:t xml:space="preserve">ative to at baseline antibiotic </w:t>
      </w:r>
      <w:r w:rsidR="00515740" w:rsidRPr="00394BCD">
        <w:rPr>
          <w:rFonts w:cstheme="minorHAnsi"/>
        </w:rPr>
        <w:t xml:space="preserve">usage </w:t>
      </w:r>
      <w:r w:rsidRPr="00394BCD">
        <w:rPr>
          <w:rFonts w:cstheme="minorHAnsi"/>
        </w:rPr>
        <w:t>levels across all case studies (</w:t>
      </w:r>
      <w:r w:rsidR="008B1C3F" w:rsidRPr="00394BCD">
        <w:rPr>
          <w:rFonts w:cstheme="minorHAnsi"/>
        </w:rPr>
        <w:t>Figure 4</w:t>
      </w:r>
      <w:r w:rsidRPr="00394BCD">
        <w:rPr>
          <w:rFonts w:cstheme="minorHAnsi"/>
        </w:rPr>
        <w:t xml:space="preserve">). Curtailment in the </w:t>
      </w:r>
      <w:r w:rsidR="00B23C09" w:rsidRPr="00394BCD">
        <w:rPr>
          <w:rFonts w:cstheme="minorHAnsi"/>
        </w:rPr>
        <w:t>fattening pigs case studies</w:t>
      </w:r>
      <w:r w:rsidRPr="00394BCD">
        <w:rPr>
          <w:rFonts w:cstheme="minorHAnsi"/>
        </w:rPr>
        <w:t xml:space="preserve"> resulted in the largest increase in</w:t>
      </w:r>
      <w:r w:rsidR="00B23C09" w:rsidRPr="00394BCD">
        <w:rPr>
          <w:rFonts w:cstheme="minorHAnsi"/>
        </w:rPr>
        <w:t xml:space="preserve"> the daily incidence</w:t>
      </w:r>
      <w:r w:rsidRPr="00394BCD">
        <w:rPr>
          <w:rFonts w:cstheme="minorHAnsi"/>
        </w:rPr>
        <w:t xml:space="preserve"> with a </w:t>
      </w:r>
      <w:r w:rsidR="00622D34" w:rsidRPr="00394BCD">
        <w:rPr>
          <w:rFonts w:cstheme="minorHAnsi"/>
        </w:rPr>
        <w:t>1.11</w:t>
      </w:r>
      <w:r w:rsidRPr="00394BCD">
        <w:rPr>
          <w:rFonts w:cstheme="minorHAnsi"/>
        </w:rPr>
        <w:t>-fold (</w:t>
      </w:r>
      <w:r w:rsidR="00622D34" w:rsidRPr="00394BCD">
        <w:rPr>
          <w:rFonts w:cstheme="minorHAnsi"/>
        </w:rPr>
        <w:t>0.668</w:t>
      </w:r>
      <w:r w:rsidRPr="00394BCD">
        <w:rPr>
          <w:rFonts w:cstheme="minorHAnsi"/>
        </w:rPr>
        <w:t xml:space="preserve"> per 100,000) increase relative to baseline levels, and a </w:t>
      </w:r>
      <w:r w:rsidR="00622D34" w:rsidRPr="00394BCD">
        <w:rPr>
          <w:rFonts w:cstheme="minorHAnsi"/>
        </w:rPr>
        <w:t>1.20</w:t>
      </w:r>
      <w:r w:rsidRPr="00394BCD">
        <w:rPr>
          <w:rFonts w:cstheme="minorHAnsi"/>
        </w:rPr>
        <w:t>-fold (</w:t>
      </w:r>
      <w:r w:rsidR="00622D34" w:rsidRPr="00394BCD">
        <w:rPr>
          <w:rFonts w:cstheme="minorHAnsi"/>
        </w:rPr>
        <w:t>0.72</w:t>
      </w:r>
      <w:r w:rsidRPr="00394BCD">
        <w:rPr>
          <w:rFonts w:cstheme="minorHAnsi"/>
        </w:rPr>
        <w:t xml:space="preserve"> per 100,000)</w:t>
      </w:r>
      <w:r w:rsidR="00B23C09" w:rsidRPr="00394BCD">
        <w:rPr>
          <w:rFonts w:cstheme="minorHAnsi"/>
        </w:rPr>
        <w:t xml:space="preserve"> for the ampicillin and tetracycline case</w:t>
      </w:r>
      <w:r w:rsidR="00DB62FF" w:rsidRPr="00394BCD">
        <w:rPr>
          <w:rFonts w:cstheme="minorHAnsi"/>
        </w:rPr>
        <w:t xml:space="preserve"> </w:t>
      </w:r>
      <w:r w:rsidR="00B23C09" w:rsidRPr="00394BCD">
        <w:rPr>
          <w:rFonts w:cstheme="minorHAnsi"/>
        </w:rPr>
        <w:t>studies respectively. Increases in the daily incidence for the broiler poultry case studies were relatively milder with a</w:t>
      </w:r>
      <w:r w:rsidRPr="00394BCD">
        <w:rPr>
          <w:rFonts w:cstheme="minorHAnsi"/>
        </w:rPr>
        <w:t xml:space="preserve"> </w:t>
      </w:r>
      <w:r w:rsidR="00B101C1" w:rsidRPr="00394BCD">
        <w:rPr>
          <w:rFonts w:cstheme="minorHAnsi"/>
        </w:rPr>
        <w:t>1.004</w:t>
      </w:r>
      <w:r w:rsidRPr="00394BCD">
        <w:rPr>
          <w:rFonts w:cstheme="minorHAnsi"/>
        </w:rPr>
        <w:t>-fold (</w:t>
      </w:r>
      <w:r w:rsidR="00B101C1" w:rsidRPr="00394BCD">
        <w:rPr>
          <w:rFonts w:cstheme="minorHAnsi"/>
        </w:rPr>
        <w:t>0.598</w:t>
      </w:r>
      <w:r w:rsidRPr="00394BCD">
        <w:rPr>
          <w:rFonts w:cstheme="minorHAnsi"/>
        </w:rPr>
        <w:t xml:space="preserve"> per 100,000) </w:t>
      </w:r>
      <w:r w:rsidR="007C570D" w:rsidRPr="00394BCD">
        <w:rPr>
          <w:rFonts w:cstheme="minorHAnsi"/>
        </w:rPr>
        <w:t xml:space="preserve">and a </w:t>
      </w:r>
      <w:r w:rsidR="00622D34" w:rsidRPr="00394BCD">
        <w:rPr>
          <w:rFonts w:cstheme="minorHAnsi"/>
        </w:rPr>
        <w:t>1.02</w:t>
      </w:r>
      <w:r w:rsidR="007C570D" w:rsidRPr="00394BCD">
        <w:rPr>
          <w:rFonts w:cstheme="minorHAnsi"/>
        </w:rPr>
        <w:t>-fold (</w:t>
      </w:r>
      <w:r w:rsidR="00622D34" w:rsidRPr="00394BCD">
        <w:rPr>
          <w:rFonts w:cstheme="minorHAnsi"/>
        </w:rPr>
        <w:t>0.617</w:t>
      </w:r>
      <w:r w:rsidR="007C570D" w:rsidRPr="00394BCD">
        <w:rPr>
          <w:rFonts w:cstheme="minorHAnsi"/>
        </w:rPr>
        <w:t xml:space="preserve"> per 100,000) </w:t>
      </w:r>
      <w:r w:rsidRPr="00394BCD">
        <w:rPr>
          <w:rFonts w:cstheme="minorHAnsi"/>
        </w:rPr>
        <w:t xml:space="preserve">increase in the </w:t>
      </w:r>
      <w:r w:rsidR="007C570D" w:rsidRPr="00394BCD">
        <w:rPr>
          <w:rFonts w:cstheme="minorHAnsi"/>
        </w:rPr>
        <w:t xml:space="preserve">daily incidence for the </w:t>
      </w:r>
      <w:r w:rsidR="000C4FDF" w:rsidRPr="00394BCD">
        <w:rPr>
          <w:rFonts w:cstheme="minorHAnsi"/>
        </w:rPr>
        <w:t>ampicillin and</w:t>
      </w:r>
      <w:r w:rsidR="00515740" w:rsidRPr="00394BCD">
        <w:rPr>
          <w:rFonts w:cstheme="minorHAnsi"/>
        </w:rPr>
        <w:t xml:space="preserve"> </w:t>
      </w:r>
      <w:r w:rsidRPr="00394BCD">
        <w:rPr>
          <w:rFonts w:cstheme="minorHAnsi"/>
        </w:rPr>
        <w:t>tetracycline</w:t>
      </w:r>
      <w:r w:rsidR="00F06C62" w:rsidRPr="00394BCD">
        <w:rPr>
          <w:rFonts w:cstheme="minorHAnsi"/>
        </w:rPr>
        <w:t xml:space="preserve"> </w:t>
      </w:r>
      <w:r w:rsidR="00515740" w:rsidRPr="00394BCD">
        <w:rPr>
          <w:rFonts w:cstheme="minorHAnsi"/>
        </w:rPr>
        <w:t>usage</w:t>
      </w:r>
      <w:r w:rsidRPr="00394BCD">
        <w:rPr>
          <w:rFonts w:cstheme="minorHAnsi"/>
        </w:rPr>
        <w:t xml:space="preserve"> case stud</w:t>
      </w:r>
      <w:r w:rsidR="00F8032F" w:rsidRPr="00394BCD">
        <w:rPr>
          <w:rFonts w:cstheme="minorHAnsi"/>
        </w:rPr>
        <w:t>ies</w:t>
      </w:r>
      <w:r w:rsidRPr="00394BCD">
        <w:rPr>
          <w:rFonts w:cstheme="minorHAnsi"/>
        </w:rPr>
        <w:t xml:space="preserve"> respectively. Increases in livestock antibiotic usage above baseline usage levels</w:t>
      </w:r>
      <w:r w:rsidR="00F8032F" w:rsidRPr="00394BCD">
        <w:rPr>
          <w:rFonts w:cstheme="minorHAnsi"/>
        </w:rPr>
        <w:t xml:space="preserve"> in the </w:t>
      </w:r>
      <w:r w:rsidR="00EC6866" w:rsidRPr="00394BCD">
        <w:rPr>
          <w:rFonts w:cstheme="minorHAnsi"/>
        </w:rPr>
        <w:t>four</w:t>
      </w:r>
      <w:r w:rsidR="00F8032F" w:rsidRPr="00394BCD">
        <w:rPr>
          <w:rFonts w:cstheme="minorHAnsi"/>
        </w:rPr>
        <w:t xml:space="preserve"> </w:t>
      </w:r>
      <w:r w:rsidR="00EC6866" w:rsidRPr="00394BCD">
        <w:rPr>
          <w:rFonts w:cstheme="minorHAnsi"/>
        </w:rPr>
        <w:t>case studies</w:t>
      </w:r>
      <w:r w:rsidRPr="00B23C09">
        <w:rPr>
          <w:rFonts w:cstheme="minorHAnsi"/>
        </w:rPr>
        <w:t xml:space="preserve"> </w:t>
      </w:r>
      <w:r w:rsidRPr="00B23C09">
        <w:rPr>
          <w:rFonts w:cstheme="minorHAnsi"/>
        </w:rPr>
        <w:lastRenderedPageBreak/>
        <w:t>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5640C854" w:rsidR="008D5DB0" w:rsidRDefault="008D5DB0" w:rsidP="008D5DB0">
      <w:pPr>
        <w:pStyle w:val="NoSpacing"/>
        <w:spacing w:line="360" w:lineRule="auto"/>
        <w:jc w:val="both"/>
        <w:rPr>
          <w:rFonts w:cstheme="minorHAnsi"/>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00CC0A96">
        <w:rPr>
          <w:rFonts w:cstheme="minorHAnsi"/>
        </w:rPr>
        <w:t>Transmission related fitness costs associated with antibiotic-resistance (α), the</w:t>
      </w:r>
      <w:r w:rsidRPr="00D67AE7">
        <w:rPr>
          <w:rFonts w:cstheme="minorHAnsi"/>
        </w:rPr>
        <w:t xml:space="preserv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00CC0A96">
        <w:rPr>
          <w:rFonts w:cstheme="minorHAnsi"/>
        </w:rPr>
        <w:t xml:space="preserve"> and α, </w:t>
      </w:r>
      <w:r w:rsidRPr="003C4859">
        <w:rPr>
          <w:rFonts w:cstheme="minorHAnsi"/>
        </w:rPr>
        <w:t>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0E12089A" w:rsidR="00F06C62" w:rsidRDefault="00880247" w:rsidP="008D5DB0">
      <w:pPr>
        <w:pStyle w:val="NoSpacing"/>
        <w:spacing w:line="360" w:lineRule="auto"/>
        <w:jc w:val="both"/>
        <w:rPr>
          <w:rFonts w:cstheme="minorHAnsi"/>
        </w:rPr>
      </w:pPr>
      <w:r>
        <w:rPr>
          <w:noProof/>
        </w:rPr>
        <w:lastRenderedPageBreak/>
        <w:drawing>
          <wp:inline distT="0" distB="0" distL="0" distR="0" wp14:anchorId="3A41C20F" wp14:editId="1FEC36A3">
            <wp:extent cx="5731510" cy="573151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3866FC5F"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g/pCU)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D1449E">
        <w:instrText xml:space="preserve"> ADDIN EN.CITE &lt;EndNote&gt;&lt;Cite&gt;&lt;Author&gt;Department for Environment&lt;/Author&gt;&lt;Year&gt;2015&lt;/Year&gt;&lt;RecNum&gt;227&lt;/RecNum&gt;&lt;DisplayText&gt;(37, 38)&lt;/DisplayText&gt;&lt;record&gt;&lt;rec-number&gt;227&lt;/rec-number&gt;&lt;foreign-keys&gt;&lt;key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 guid="55d2f8eb-9f7d-446b-9fa6-cdc1dadef448"&gt;271&lt;/key&gt;&lt;/foreign-keys&gt;&lt;ref-type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BD7749">
        <w:rPr>
          <w:noProof/>
        </w:rPr>
        <w:t>(37, 38)</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 xml:space="preserve">0% - </w:t>
      </w:r>
      <w:r w:rsidR="00717076">
        <w:rPr>
          <w:rFonts w:cstheme="minorHAnsi"/>
        </w:rPr>
        <w:t>25</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38CBCE4B" w:rsidR="0084700F" w:rsidRPr="004F3AF2" w:rsidRDefault="008C784C" w:rsidP="008D5DB0">
      <w:pPr>
        <w:pStyle w:val="NoSpacing"/>
        <w:spacing w:line="360" w:lineRule="auto"/>
        <w:jc w:val="center"/>
        <w:rPr>
          <w:rFonts w:cstheme="minorHAnsi"/>
        </w:rPr>
      </w:pPr>
      <w:r>
        <w:rPr>
          <w:noProof/>
        </w:rPr>
        <w:lastRenderedPageBreak/>
        <w:drawing>
          <wp:inline distT="0" distB="0" distL="0" distR="0" wp14:anchorId="6B3185D1" wp14:editId="254B27ED">
            <wp:extent cx="5731510" cy="5731510"/>
            <wp:effectExtent l="0" t="0" r="254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B3AD803" w14:textId="565E27C2" w:rsidR="008D5DB0"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w:t>
      </w:r>
      <w:r w:rsidR="00243A06">
        <w:rPr>
          <w:rFonts w:cstheme="minorHAnsi"/>
          <w:b/>
        </w:rPr>
        <w:t xml:space="preserve">salmonellosis </w:t>
      </w:r>
      <w:r w:rsidR="00243A06" w:rsidRPr="00D67AE7">
        <w:rPr>
          <w:rFonts w:cstheme="minorHAnsi"/>
          <w:b/>
        </w:rPr>
        <w:t>under</w:t>
      </w:r>
      <w:r w:rsidR="008D5DB0" w:rsidRPr="00D67AE7">
        <w:rPr>
          <w:rFonts w:cstheme="minorHAnsi"/>
          <w:b/>
        </w:rPr>
        <w:t xml:space="preserve">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3BEE78FC" w14:textId="77777777" w:rsidR="00880247" w:rsidRPr="00D67AE7" w:rsidRDefault="00880247" w:rsidP="008D5DB0">
      <w:pPr>
        <w:pStyle w:val="NoSpacing"/>
        <w:spacing w:line="360" w:lineRule="auto"/>
        <w:jc w:val="both"/>
        <w:rPr>
          <w:rFonts w:cstheme="minorHAnsi"/>
          <w:bCs/>
        </w:rPr>
      </w:pPr>
    </w:p>
    <w:p w14:paraId="592E4B8F" w14:textId="057B29A9" w:rsidR="00697720" w:rsidRDefault="00986E3F" w:rsidP="00CC0A96">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DD29AA">
        <w:rPr>
          <w:rFonts w:cstheme="minorHAnsi"/>
        </w:rPr>
        <w:t>1</w:t>
      </w:r>
      <w:r w:rsidR="00836F29" w:rsidRPr="00737B8B">
        <w:rPr>
          <w:rFonts w:cstheme="minorHAnsi"/>
        </w:rPr>
        <w:t>%</w:t>
      </w:r>
      <w:r w:rsidR="00C53D33">
        <w:rPr>
          <w:rFonts w:cstheme="minorHAnsi"/>
        </w:rPr>
        <w:t>,</w:t>
      </w:r>
      <w:r w:rsidR="006835D6">
        <w:rPr>
          <w:rFonts w:cstheme="minorHAnsi"/>
        </w:rPr>
        <w:t xml:space="preserve"> </w:t>
      </w:r>
      <w:r w:rsidR="006835D6">
        <w:rPr>
          <w:rFonts w:cstheme="minorHAnsi"/>
        </w:rPr>
        <w:t>4</w:t>
      </w:r>
      <w:r w:rsidR="006835D6" w:rsidRPr="00737B8B">
        <w:rPr>
          <w:rFonts w:cstheme="minorHAnsi"/>
        </w:rPr>
        <w:t>%,</w:t>
      </w:r>
      <w:r w:rsidR="00C122B2" w:rsidRPr="00737B8B">
        <w:rPr>
          <w:rFonts w:cstheme="minorHAnsi"/>
        </w:rPr>
        <w:t xml:space="preserve"> </w:t>
      </w:r>
      <w:r w:rsidR="00DD29AA">
        <w:rPr>
          <w:rFonts w:cstheme="minorHAnsi"/>
        </w:rPr>
        <w:t>12</w:t>
      </w:r>
      <w:r w:rsidR="00836F29" w:rsidRPr="00737B8B">
        <w:rPr>
          <w:rFonts w:cstheme="minorHAnsi"/>
        </w:rPr>
        <w:t>%</w:t>
      </w:r>
      <w:r w:rsidR="006835D6">
        <w:rPr>
          <w:rFonts w:cstheme="minorHAnsi"/>
        </w:rPr>
        <w:t xml:space="preserve"> </w:t>
      </w:r>
      <w:r w:rsidR="006835D6">
        <w:rPr>
          <w:rFonts w:cstheme="minorHAnsi"/>
        </w:rPr>
        <w:lastRenderedPageBreak/>
        <w:t>and</w:t>
      </w:r>
      <w:r w:rsidR="006835D6">
        <w:rPr>
          <w:rFonts w:cstheme="minorHAnsi"/>
        </w:rPr>
        <w:t xml:space="preserve"> 18</w:t>
      </w:r>
      <w:r w:rsidR="006835D6"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w:t>
      </w:r>
      <w:r w:rsidR="00717076">
        <w:rPr>
          <w:rFonts w:cstheme="minorHAnsi"/>
        </w:rPr>
        <w:t xml:space="preserve">across </w:t>
      </w:r>
      <w:r w:rsidR="00C122B2" w:rsidRPr="003C4859">
        <w:rPr>
          <w:rFonts w:cstheme="minorHAnsi"/>
        </w:rPr>
        <w:t xml:space="preserve">any </w:t>
      </w:r>
      <w:r w:rsidR="00E05825">
        <w:rPr>
          <w:rFonts w:cstheme="minorHAnsi"/>
        </w:rPr>
        <w:t xml:space="preserve">of the considered case </w:t>
      </w:r>
      <w:r w:rsidR="00E05825" w:rsidRPr="00DE44D6">
        <w:rPr>
          <w:rFonts w:cstheme="minorHAnsi"/>
        </w:rPr>
        <w:t>studies</w:t>
      </w:r>
      <w:r w:rsidR="00717076">
        <w:rPr>
          <w:rFonts w:cstheme="minorHAnsi"/>
        </w:rPr>
        <w:t xml:space="preserve"> in the explored parameter space. Exceptions can be observed with strong reductions to </w:t>
      </w:r>
      <w:r w:rsidR="00717076" w:rsidRPr="00DE44D6">
        <w:rPr>
          <w:rFonts w:cstheme="minorHAnsi"/>
        </w:rPr>
        <w:t>β</w:t>
      </w:r>
      <w:r w:rsidR="00717076" w:rsidRPr="00DE44D6">
        <w:rPr>
          <w:rFonts w:cstheme="minorHAnsi"/>
          <w:vertAlign w:val="subscript"/>
        </w:rPr>
        <w:t>AA</w:t>
      </w:r>
      <w:r w:rsidR="00717076" w:rsidRPr="00DE44D6">
        <w:rPr>
          <w:rFonts w:cstheme="minorHAnsi"/>
        </w:rPr>
        <w:t>/ζ</w:t>
      </w:r>
      <w:r w:rsidR="00717076">
        <w:rPr>
          <w:rFonts w:cstheme="minorHAnsi"/>
        </w:rPr>
        <w:t xml:space="preserve"> greater than </w:t>
      </w:r>
      <w:r w:rsidR="00DD29AA">
        <w:rPr>
          <w:rFonts w:cstheme="minorHAnsi"/>
        </w:rPr>
        <w:t>~</w:t>
      </w:r>
      <w:r w:rsidR="00717076">
        <w:rPr>
          <w:rFonts w:cstheme="minorHAnsi"/>
        </w:rPr>
        <w:t>50%,</w:t>
      </w:r>
      <w:r w:rsidR="00CC0A96">
        <w:rPr>
          <w:rFonts w:cstheme="minorHAnsi"/>
        </w:rPr>
        <w:t xml:space="preserve"> </w:t>
      </w:r>
      <w:r w:rsidR="00717076">
        <w:rPr>
          <w:rFonts w:cstheme="minorHAnsi"/>
        </w:rPr>
        <w:t>or if the initial increase in daily incidence is negligible</w:t>
      </w:r>
      <w:r w:rsidR="00DD29AA">
        <w:rPr>
          <w:rFonts w:cstheme="minorHAnsi"/>
        </w:rPr>
        <w:t xml:space="preserve"> upon antibiotic curtailment</w:t>
      </w:r>
      <w:r w:rsidR="00717076">
        <w:rPr>
          <w:rFonts w:cstheme="minorHAnsi"/>
        </w:rPr>
        <w:t xml:space="preserve">, as </w:t>
      </w:r>
      <w:r w:rsidR="00DD29AA">
        <w:rPr>
          <w:rFonts w:cstheme="minorHAnsi"/>
        </w:rPr>
        <w:t>seen</w:t>
      </w:r>
      <w:r w:rsidR="00717076">
        <w:rPr>
          <w:rFonts w:cstheme="minorHAnsi"/>
        </w:rPr>
        <w:t xml:space="preserve"> with the </w:t>
      </w:r>
      <w:r w:rsidR="007075A3">
        <w:rPr>
          <w:rFonts w:cstheme="minorHAnsi"/>
        </w:rPr>
        <w:t>ampicillin</w:t>
      </w:r>
      <w:r w:rsidR="00717076">
        <w:rPr>
          <w:rFonts w:cstheme="minorHAnsi"/>
        </w:rPr>
        <w:t xml:space="preserve"> usage in broiler poultry case study </w:t>
      </w:r>
      <w:r w:rsidR="00E05825" w:rsidRPr="00DE44D6">
        <w:rPr>
          <w:rFonts w:cstheme="minorHAnsi"/>
        </w:rPr>
        <w:t>(Figure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w:t>
      </w:r>
      <w:r w:rsidR="00645E52">
        <w:rPr>
          <w:rFonts w:cstheme="minorHAnsi"/>
        </w:rPr>
        <w:t xml:space="preserve">(Figure 5B) </w:t>
      </w:r>
      <w:r w:rsidRPr="003C4859">
        <w:rPr>
          <w:rFonts w:cstheme="minorHAnsi"/>
        </w:rPr>
        <w:t xml:space="preserve">suggesting that controlling animal-to-human transmission is </w:t>
      </w:r>
      <w:r w:rsidR="00CC0A96">
        <w:rPr>
          <w:rFonts w:cstheme="minorHAnsi"/>
        </w:rPr>
        <w:t xml:space="preserve">primary and most efficacious method to </w:t>
      </w:r>
      <w:r w:rsidRPr="003C4859">
        <w:rPr>
          <w:rFonts w:cstheme="minorHAnsi"/>
        </w:rPr>
        <w:t>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33E3F95" w14:textId="02F7CE80" w:rsidR="005E0DB4" w:rsidRDefault="005E0DB4" w:rsidP="008D5DB0">
      <w:pPr>
        <w:pStyle w:val="NoSpacing"/>
      </w:pPr>
    </w:p>
    <w:p w14:paraId="4CD4DE2A" w14:textId="2AB704CA" w:rsidR="005E0DB4" w:rsidRDefault="005E0DB4" w:rsidP="008D5DB0">
      <w:pPr>
        <w:pStyle w:val="NoSpacing"/>
      </w:pPr>
    </w:p>
    <w:p w14:paraId="4A3F8655" w14:textId="77777777" w:rsidR="00BC500C" w:rsidRDefault="00BC500C"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6171CFBC" w:rsidR="00737B8B" w:rsidRDefault="00737B8B" w:rsidP="008D5DB0">
      <w:pPr>
        <w:pStyle w:val="NoSpacing"/>
      </w:pPr>
    </w:p>
    <w:p w14:paraId="663B3A1C" w14:textId="093123B6" w:rsidR="00880247" w:rsidRDefault="00880247"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0567BC90"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D1449E">
        <w:instrText xml:space="preserve"> ADDIN EN.CITE &lt;EndNote&gt;&lt;Cite&gt;&lt;Author&gt;Department for Environment&lt;/Author&gt;&lt;Year&gt;2015&lt;/Year&gt;&lt;RecNum&gt;227&lt;/RecNum&gt;&lt;DisplayText&gt;(37, 39)&lt;/DisplayText&gt;&lt;record&gt;&lt;rec-number&gt;227&lt;/rec-number&gt;&lt;foreign-keys&gt;&lt;key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 guid="18f05575-9676-48cb-89f7-95f812a8e0c0"&gt;228&lt;/key&gt;&lt;/foreign-keys&gt;&lt;ref-type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BD7749">
        <w:rPr>
          <w:noProof/>
        </w:rPr>
        <w:t>(37, 39)</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435F3E1F"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 </w:instrText>
      </w:r>
      <w:r w:rsidR="00D1449E">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EN.CITE.DATA </w:instrText>
      </w:r>
      <w:r w:rsidR="00D1449E">
        <w:fldChar w:fldCharType="end"/>
      </w:r>
      <w:r w:rsidR="00FE124D" w:rsidRPr="003C4859">
        <w:fldChar w:fldCharType="separate"/>
      </w:r>
      <w:r w:rsidR="00BD7749">
        <w:rPr>
          <w:noProof/>
        </w:rPr>
        <w:t>(18, 40, 41)</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1A075122"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D1449E">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 guid="1cfe0489-ace8-43d2-80df-b0dd585754d1"&gt;207&lt;/key&gt;&lt;/foreign-keys&gt;&lt;ref-type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160E3D2C"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D1449E">
        <w:instrText xml:space="preserve"> ADDIN EN.CITE &lt;EndNote&gt;&lt;Cite&gt;&lt;Author&gt;Davies&lt;/Author&gt;&lt;Year&gt;2019&lt;/Year&gt;&lt;RecNum&gt;272&lt;/RecNum&gt;&lt;DisplayText&gt;(42)&lt;/DisplayText&gt;&lt;record&gt;&lt;rec-number&gt;272&lt;/rec-number&gt;&lt;foreign-keys&gt;&lt;key app="EN" db-id="fsts22ax5rxrp6ea59ipwpp69ts0e0ft9etx" timestamp="1635178111" guid="d38fc891-7314-48e9-9dec-5073ad4b5084"&gt;272&lt;/key&gt;&lt;/foreign-keys&gt;&lt;ref-type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BD7749">
        <w:rPr>
          <w:noProof/>
        </w:rPr>
        <w:t>(42)</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1A20E33D"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5286A34C"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F545E4">
        <w:rPr>
          <w:rFonts w:cstheme="minorHAnsi"/>
        </w:rPr>
        <w:t xml:space="preserve">glycopeptide resistant </w:t>
      </w:r>
      <w:r w:rsidR="00F545E4" w:rsidRPr="00F545E4">
        <w:rPr>
          <w:rFonts w:cstheme="minorHAnsi"/>
          <w:i/>
        </w:rPr>
        <w:t>E.faecium</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D1449E">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 guid="a744032d-2290-4f33-b27f-629ebc682199"&gt;9&lt;/key&gt;&lt;/foreign-keys&gt;&lt;ref-type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D1449E">
        <w:rPr>
          <w:rFonts w:cstheme="minorHAnsi"/>
        </w:rPr>
        <w:instrText xml:space="preserve"> ADDIN EN.CITE &lt;EndNote&gt;&lt;Cite&gt;&lt;Author&gt;Van Boeckel&lt;/Author&gt;&lt;Year&gt;2019&lt;/Year&gt;&lt;RecNum&gt;231&lt;/RecNum&gt;&lt;DisplayText&gt;(43)&lt;/DisplayText&gt;&lt;record&gt;&lt;rec-number&gt;231&lt;/rec-number&gt;&lt;foreign-keys&gt;&lt;key app="EN" db-id="fsts22ax5rxrp6ea59ipwpp69ts0e0ft9etx" timestamp="1635174931" guid="cc65c094-34b6-42a6-bd25-8fbb4b11e4ff"&gt;231&lt;/key&gt;&lt;/foreign-keys&gt;&lt;ref-type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BD7749">
        <w:rPr>
          <w:rFonts w:cstheme="minorHAnsi"/>
          <w:noProof/>
        </w:rPr>
        <w:t>(43)</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1B2AED7A"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316D802" w:rsidR="00DF5944" w:rsidRDefault="005D1AA1" w:rsidP="008D5DB0">
      <w:pPr>
        <w:pStyle w:val="NoSpacing"/>
        <w:spacing w:line="360" w:lineRule="auto"/>
        <w:jc w:val="both"/>
        <w:rPr>
          <w:rFonts w:cstheme="minorHAnsi"/>
        </w:rPr>
      </w:pPr>
      <w:r>
        <w:rPr>
          <w:rFonts w:cstheme="minorHAnsi"/>
        </w:rPr>
        <w:t>Th</w:t>
      </w:r>
      <w:r w:rsidR="00B83E5E">
        <w:rPr>
          <w:rFonts w:cstheme="minorHAnsi"/>
        </w:rPr>
        <w:t>e</w:t>
      </w:r>
      <w:r w:rsidR="0084160B">
        <w:rPr>
          <w:rFonts w:cstheme="minorHAnsi"/>
        </w:rPr>
        <w:t xml:space="preserve">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health” attitude and</w:t>
      </w:r>
      <w:r w:rsidR="000B1A50">
        <w:rPr>
          <w:rFonts w:cstheme="minorHAnsi"/>
        </w:rPr>
        <w:t xml:space="preserve"> a focus on </w:t>
      </w:r>
      <w:r w:rsidR="00DF5944" w:rsidRPr="00D67AE7">
        <w:rPr>
          <w:rFonts w:cstheme="minorHAnsi"/>
        </w:rPr>
        <w:t>improving</w:t>
      </w:r>
      <w:r w:rsidR="000B1A50">
        <w:rPr>
          <w:rFonts w:cstheme="minorHAnsi"/>
        </w:rPr>
        <w:t xml:space="preserve"> farm-to-fork biosecurity and</w:t>
      </w:r>
      <w:r w:rsidR="00DF5944" w:rsidRPr="00D67AE7">
        <w:rPr>
          <w:rFonts w:cstheme="minorHAnsi"/>
        </w:rPr>
        <w:t xml:space="preserve">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lastRenderedPageBreak/>
        <w:t>REFERENCES</w:t>
      </w:r>
    </w:p>
    <w:p w14:paraId="27F26DD4" w14:textId="77777777" w:rsidR="00D1449E" w:rsidRPr="00D1449E" w:rsidRDefault="00775151" w:rsidP="00D1449E">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D1449E" w:rsidRPr="00D1449E">
        <w:t>1.</w:t>
      </w:r>
      <w:r w:rsidR="00D1449E" w:rsidRPr="00D1449E">
        <w:tab/>
        <w:t>Woolhouse M, Ward M, van Bunnik B, Farrar J. Antimicrobial resistance in humans, livestock and the wider environment. Philos Trans R Soc Lond B Biol Sci. 2015;370(1670):20140083.</w:t>
      </w:r>
    </w:p>
    <w:p w14:paraId="4E83615F" w14:textId="77777777" w:rsidR="00D1449E" w:rsidRPr="00D1449E" w:rsidRDefault="00D1449E" w:rsidP="00D1449E">
      <w:pPr>
        <w:pStyle w:val="EndNoteBibliography"/>
        <w:spacing w:after="0"/>
      </w:pPr>
      <w:r w:rsidRPr="00D1449E">
        <w:t>2.</w:t>
      </w:r>
      <w:r w:rsidRPr="00D1449E">
        <w:tab/>
        <w:t>IP/05/1687 - Ban on antibiotics as growth promoters in animal feed enters into effect [press release]. Brussels: European Commission, 22/12/2005 2005.</w:t>
      </w:r>
    </w:p>
    <w:p w14:paraId="002FE852" w14:textId="77777777" w:rsidR="00D1449E" w:rsidRPr="00D1449E" w:rsidRDefault="00D1449E" w:rsidP="00D1449E">
      <w:pPr>
        <w:pStyle w:val="EndNoteBibliography"/>
        <w:spacing w:after="0"/>
      </w:pPr>
      <w:r w:rsidRPr="00D1449E">
        <w:t>3.</w:t>
      </w:r>
      <w:r w:rsidRPr="00D1449E">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153EE736" w14:textId="77777777" w:rsidR="00D1449E" w:rsidRPr="00D1449E" w:rsidRDefault="00D1449E" w:rsidP="00D1449E">
      <w:pPr>
        <w:pStyle w:val="EndNoteBibliography"/>
        <w:spacing w:after="0"/>
      </w:pPr>
      <w:r w:rsidRPr="00D1449E">
        <w:t>4.</w:t>
      </w:r>
      <w:r w:rsidRPr="00D1449E">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1695C37E" w14:textId="77777777" w:rsidR="00D1449E" w:rsidRPr="00D1449E" w:rsidRDefault="00D1449E" w:rsidP="00D1449E">
      <w:pPr>
        <w:pStyle w:val="EndNoteBibliography"/>
        <w:spacing w:after="0"/>
      </w:pPr>
      <w:r w:rsidRPr="00D1449E">
        <w:t>5.</w:t>
      </w:r>
      <w:r w:rsidRPr="00D1449E">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2205A8E" w14:textId="77777777" w:rsidR="00D1449E" w:rsidRPr="00D1449E" w:rsidRDefault="00D1449E" w:rsidP="00D1449E">
      <w:pPr>
        <w:pStyle w:val="EndNoteBibliography"/>
        <w:spacing w:after="0"/>
      </w:pPr>
      <w:r w:rsidRPr="00D1449E">
        <w:t>6.</w:t>
      </w:r>
      <w:r w:rsidRPr="00D1449E">
        <w:tab/>
        <w:t>Casewell M, Friis C, Marco E, McMullin P, Phillips I. The European ban on growth-promoting antibiotics and emerging consequences for human and animal health. J Antimicrob Chemoth. 2003;52(2):159-61.</w:t>
      </w:r>
    </w:p>
    <w:p w14:paraId="52A66A23" w14:textId="77777777" w:rsidR="00D1449E" w:rsidRPr="00D1449E" w:rsidRDefault="00D1449E" w:rsidP="00D1449E">
      <w:pPr>
        <w:pStyle w:val="EndNoteBibliography"/>
        <w:spacing w:after="0"/>
      </w:pPr>
      <w:r w:rsidRPr="00D1449E">
        <w:t>7.</w:t>
      </w:r>
      <w:r w:rsidRPr="00D1449E">
        <w:tab/>
        <w:t>Schlundt J, Aarestrup FM. Commentary: Benefits and risks of antimicrobial use in food-producing animals. Frontiers in microbiology. 2017;8:181.</w:t>
      </w:r>
    </w:p>
    <w:p w14:paraId="5B3E32F9" w14:textId="77777777" w:rsidR="00D1449E" w:rsidRPr="00D1449E" w:rsidRDefault="00D1449E" w:rsidP="00D1449E">
      <w:pPr>
        <w:pStyle w:val="EndNoteBibliography"/>
        <w:spacing w:after="0"/>
      </w:pPr>
      <w:r w:rsidRPr="00D1449E">
        <w:t>8.</w:t>
      </w:r>
      <w:r w:rsidRPr="00D1449E">
        <w:tab/>
        <w:t>Aarestrup FM. The livestock reservoir for antimicrobial resistance: a personal view on changing patterns of risks, effects of interventions and the way forward. Philos Trans R Soc Lond B Biol Sci. 2015;370(1670):20140085.</w:t>
      </w:r>
    </w:p>
    <w:p w14:paraId="76ED1E81" w14:textId="77777777" w:rsidR="00D1449E" w:rsidRPr="00D1449E" w:rsidRDefault="00D1449E" w:rsidP="00D1449E">
      <w:pPr>
        <w:pStyle w:val="EndNoteBibliography"/>
        <w:spacing w:after="0"/>
      </w:pPr>
      <w:r w:rsidRPr="00D1449E">
        <w:t>9.</w:t>
      </w:r>
      <w:r w:rsidRPr="00D1449E">
        <w:tab/>
        <w:t>Phillips I, Casewell M, Cox T, De Groot B, Friis C, Jones R, et al. Does the use of antibiotics in food animals pose a risk to human health? A critical review of published data. J Antimicrob Chemoth. 2004;53(1):28-52.</w:t>
      </w:r>
    </w:p>
    <w:p w14:paraId="15375C0F" w14:textId="77777777" w:rsidR="00D1449E" w:rsidRPr="00D1449E" w:rsidRDefault="00D1449E" w:rsidP="00D1449E">
      <w:pPr>
        <w:pStyle w:val="EndNoteBibliography"/>
        <w:spacing w:after="0"/>
      </w:pPr>
      <w:r w:rsidRPr="00D1449E">
        <w:t>10.</w:t>
      </w:r>
      <w:r w:rsidRPr="00D1449E">
        <w:tab/>
        <w:t>EUR‐Lex. Regulation (EU) 2019/6 of the European Parliament and of the Council of 11 December 2018 on veterinary medicinal products and repealing Directive 2001/82/EC. 2019.</w:t>
      </w:r>
    </w:p>
    <w:p w14:paraId="1879AC9F" w14:textId="77777777" w:rsidR="00D1449E" w:rsidRPr="00D1449E" w:rsidRDefault="00D1449E" w:rsidP="00D1449E">
      <w:pPr>
        <w:pStyle w:val="EndNoteBibliography"/>
        <w:spacing w:after="0"/>
      </w:pPr>
      <w:r w:rsidRPr="00D1449E">
        <w:t>11.</w:t>
      </w:r>
      <w:r w:rsidRPr="00D1449E">
        <w:tab/>
        <w:t>Niewiadomska AM, Jayabalasingham B, Seidman JC, Willem L, Grenfell B, Spiro D, et al. Population-level mathematical modeling of antimicrobial resistance: a systematic review. BMC Med. 2019;17(1):81.</w:t>
      </w:r>
    </w:p>
    <w:p w14:paraId="6BD88851" w14:textId="77777777" w:rsidR="00D1449E" w:rsidRPr="00D1449E" w:rsidRDefault="00D1449E" w:rsidP="00D1449E">
      <w:pPr>
        <w:pStyle w:val="EndNoteBibliography"/>
        <w:spacing w:after="0"/>
      </w:pPr>
      <w:r w:rsidRPr="00D1449E">
        <w:t>12.</w:t>
      </w:r>
      <w:r w:rsidRPr="00D1449E">
        <w:tab/>
        <w:t>Spicknall IH, Foxman B, Marrs CF, Eisenberg JN. A modeling framework for the evolution and spread of antibiotic resistance: literature review and model categorization. American journal of epidemiology. 2013;178(4):508-20.</w:t>
      </w:r>
    </w:p>
    <w:p w14:paraId="052A0BE8" w14:textId="77777777" w:rsidR="00D1449E" w:rsidRPr="00D1449E" w:rsidRDefault="00D1449E" w:rsidP="00D1449E">
      <w:pPr>
        <w:pStyle w:val="EndNoteBibliography"/>
        <w:spacing w:after="0"/>
      </w:pPr>
      <w:r w:rsidRPr="00D1449E">
        <w:t>13.</w:t>
      </w:r>
      <w:r w:rsidRPr="00D1449E">
        <w:tab/>
        <w:t>Caffrey N, Invik J, Waldner C, Ramsay D, Checkley S. Risk assessments evaluating foodborne antimicrobial resistance in humans: a scoping review. Microbial Risk Analysis. 2019;11:31-46.</w:t>
      </w:r>
    </w:p>
    <w:p w14:paraId="7633636E" w14:textId="77777777" w:rsidR="00D1449E" w:rsidRPr="00D1449E" w:rsidRDefault="00D1449E" w:rsidP="00D1449E">
      <w:pPr>
        <w:pStyle w:val="EndNoteBibliography"/>
        <w:spacing w:after="0"/>
      </w:pPr>
      <w:r w:rsidRPr="00D1449E">
        <w:t>14.</w:t>
      </w:r>
      <w:r w:rsidRPr="00D1449E">
        <w:tab/>
        <w:t>Alban L, Nielsen EO, Dahl J. A human health risk assessment for macrolide-resistant Campylobacter associated with the use of macrolides in Danish pig production. Prev Vet Med. 2008;83(2):115-29.</w:t>
      </w:r>
    </w:p>
    <w:p w14:paraId="6D200C5A" w14:textId="77777777" w:rsidR="00D1449E" w:rsidRPr="00D1449E" w:rsidRDefault="00D1449E" w:rsidP="00D1449E">
      <w:pPr>
        <w:pStyle w:val="EndNoteBibliography"/>
        <w:spacing w:after="0"/>
      </w:pPr>
      <w:r w:rsidRPr="00D1449E">
        <w:t>15.</w:t>
      </w:r>
      <w:r w:rsidRPr="00D1449E">
        <w:tab/>
        <w:t>Anderson SA, Woo RWY, Crawford LM. Risk assessment of the impact on human health of resistant Campylobacter jejuni from fluoroquinolone use in beef cattle. Food Control. 2001;12(1):13-25.</w:t>
      </w:r>
    </w:p>
    <w:p w14:paraId="0E2DCECF" w14:textId="77777777" w:rsidR="00D1449E" w:rsidRPr="00D1449E" w:rsidRDefault="00D1449E" w:rsidP="00D1449E">
      <w:pPr>
        <w:pStyle w:val="EndNoteBibliography"/>
        <w:spacing w:after="0"/>
      </w:pPr>
      <w:r w:rsidRPr="00D1449E">
        <w:t>16.</w:t>
      </w:r>
      <w:r w:rsidRPr="00D1449E">
        <w:tab/>
        <w:t>Cox LA, Jr. Potential human health benefits of antibiotics used in food animals: a case study of virginiamycin. Environ Int. 2005;31(4):549-63.</w:t>
      </w:r>
    </w:p>
    <w:p w14:paraId="44F9C2F4" w14:textId="77777777" w:rsidR="00D1449E" w:rsidRPr="00D1449E" w:rsidRDefault="00D1449E" w:rsidP="00D1449E">
      <w:pPr>
        <w:pStyle w:val="EndNoteBibliography"/>
        <w:spacing w:after="0"/>
      </w:pPr>
      <w:r w:rsidRPr="00D1449E">
        <w:t>17.</w:t>
      </w:r>
      <w:r w:rsidRPr="00D1449E">
        <w:tab/>
        <w:t>Hurd HS, Doores S, Hayes D, Mathew A, Maurer J, Silley P, et al. Public health consequences of macrolide use in food animals: a deterministic risk assessment. J Food Prot. 2004;67(5):980-92.</w:t>
      </w:r>
    </w:p>
    <w:p w14:paraId="1AADD511" w14:textId="77777777" w:rsidR="00D1449E" w:rsidRPr="00D1449E" w:rsidRDefault="00D1449E" w:rsidP="00D1449E">
      <w:pPr>
        <w:pStyle w:val="EndNoteBibliography"/>
        <w:spacing w:after="0"/>
      </w:pPr>
      <w:r w:rsidRPr="00D1449E">
        <w:t>18.</w:t>
      </w:r>
      <w:r w:rsidRPr="00D1449E">
        <w:tab/>
        <w:t>Marshall BM, Levy SB. Food animals and antimicrobials: impacts on human health. Clin Microbiol Rev. 2011;24(4):718-33.</w:t>
      </w:r>
    </w:p>
    <w:p w14:paraId="501139BB" w14:textId="77777777" w:rsidR="00D1449E" w:rsidRPr="00D1449E" w:rsidRDefault="00D1449E" w:rsidP="00D1449E">
      <w:pPr>
        <w:pStyle w:val="EndNoteBibliography"/>
        <w:spacing w:after="0"/>
      </w:pPr>
      <w:r w:rsidRPr="00D1449E">
        <w:lastRenderedPageBreak/>
        <w:t>19.</w:t>
      </w:r>
      <w:r w:rsidRPr="00D1449E">
        <w:tab/>
        <w:t>Kermack WO, McKendrick AG. A contribution to the mathematical theory of epidemics. Proceedings of the royal society of london Series A, Containing papers of a mathematical and physical character. 1927;115(772):700-21.</w:t>
      </w:r>
    </w:p>
    <w:p w14:paraId="4C6AF0C4" w14:textId="77777777" w:rsidR="00D1449E" w:rsidRPr="00D1449E" w:rsidRDefault="00D1449E" w:rsidP="00D1449E">
      <w:pPr>
        <w:pStyle w:val="EndNoteBibliography"/>
        <w:spacing w:after="0"/>
      </w:pPr>
      <w:r w:rsidRPr="00D1449E">
        <w:t>20.</w:t>
      </w:r>
      <w:r w:rsidRPr="00D1449E">
        <w:tab/>
        <w:t>Maisnier‐Patin S, Berg OG, Liljas L, Andersson DI. Compensatory adaptation to the deleterious effect of antibiotic resistance in Salmonella typhimurium. Mol Microbiol. 2002;46(2):355-66.</w:t>
      </w:r>
    </w:p>
    <w:p w14:paraId="435A61A4" w14:textId="77777777" w:rsidR="00D1449E" w:rsidRPr="00D1449E" w:rsidRDefault="00D1449E" w:rsidP="00D1449E">
      <w:pPr>
        <w:pStyle w:val="EndNoteBibliography"/>
        <w:spacing w:after="0"/>
      </w:pPr>
      <w:r w:rsidRPr="00D1449E">
        <w:t>21.</w:t>
      </w:r>
      <w:r w:rsidRPr="00D1449E">
        <w:tab/>
        <w:t>Toni T, Welch D, Strelkowa N, Ipsen A, Stumpf MP. Approximate Bayesian computation scheme for parameter inference and model selection in dynamical systems. J R Soc Interface. 2009;6(31):187-202.</w:t>
      </w:r>
    </w:p>
    <w:p w14:paraId="4A3051DF" w14:textId="77777777" w:rsidR="00D1449E" w:rsidRPr="00D1449E" w:rsidRDefault="00D1449E" w:rsidP="00D1449E">
      <w:pPr>
        <w:pStyle w:val="EndNoteBibliography"/>
        <w:spacing w:after="0"/>
      </w:pPr>
      <w:r w:rsidRPr="00D1449E">
        <w:t>22.</w:t>
      </w:r>
      <w:r w:rsidRPr="00D1449E">
        <w:tab/>
        <w:t>Authority EFS, Prevention ECfD, Control. The European Union summary report on antimicrobial resistance in zoonotic and indicator bacteria from humans, animals and food in 2014. EFSA journal. 2016;14(2):4380.</w:t>
      </w:r>
    </w:p>
    <w:p w14:paraId="57A11754" w14:textId="77777777" w:rsidR="00D1449E" w:rsidRPr="00D1449E" w:rsidRDefault="00D1449E" w:rsidP="00D1449E">
      <w:pPr>
        <w:pStyle w:val="EndNoteBibliography"/>
        <w:spacing w:after="0"/>
      </w:pPr>
      <w:r w:rsidRPr="00D1449E">
        <w:t>23.</w:t>
      </w:r>
      <w:r w:rsidRPr="00D1449E">
        <w:tab/>
        <w:t>Authority EFS, Prevention ECfD, Control. The European Union summary report on antimicrobial resistance in zoonotic and indicator bacteria from humans, animals and food in 2015. EFSA Journal. 2017;15(2):e04694.</w:t>
      </w:r>
    </w:p>
    <w:p w14:paraId="414D7EB1" w14:textId="77777777" w:rsidR="00D1449E" w:rsidRPr="00D1449E" w:rsidRDefault="00D1449E" w:rsidP="00D1449E">
      <w:pPr>
        <w:pStyle w:val="EndNoteBibliography"/>
        <w:spacing w:after="0"/>
      </w:pPr>
      <w:r w:rsidRPr="00D1449E">
        <w:t>24.</w:t>
      </w:r>
      <w:r w:rsidRPr="00D1449E">
        <w:tab/>
        <w:t>Authority EFS, Prevention ECfD, Control. The European Union summary report on antimicrobial resistance in zoonotic and indicator bacteria from humans, animals and food in 2016. EFSA Journal. 2018;16(2):e05182.</w:t>
      </w:r>
    </w:p>
    <w:p w14:paraId="23F1DFE6" w14:textId="77777777" w:rsidR="00D1449E" w:rsidRPr="00D1449E" w:rsidRDefault="00D1449E" w:rsidP="00D1449E">
      <w:pPr>
        <w:pStyle w:val="EndNoteBibliography"/>
        <w:spacing w:after="0"/>
      </w:pPr>
      <w:r w:rsidRPr="00D1449E">
        <w:t>25.</w:t>
      </w:r>
      <w:r w:rsidRPr="00D1449E">
        <w:tab/>
        <w:t>Authority EFS, Prevention ECfD, Control. The European Union summary report on antimicrobial resistance in zoonotic and indicator bacteria from humans, animals and food in 2017. EFSA Journal. 2019;17(2):e05598.</w:t>
      </w:r>
    </w:p>
    <w:p w14:paraId="7B21B3DD" w14:textId="77777777" w:rsidR="00D1449E" w:rsidRPr="00D1449E" w:rsidRDefault="00D1449E" w:rsidP="00D1449E">
      <w:pPr>
        <w:pStyle w:val="EndNoteBibliography"/>
        <w:spacing w:after="0"/>
      </w:pPr>
      <w:r w:rsidRPr="00D1449E">
        <w:t>26.</w:t>
      </w:r>
      <w:r w:rsidRPr="00D1449E">
        <w:tab/>
        <w:t>Authority EFS, Prevention ECfD, Control. The European Union Summary Report on Antimicrobial Resistance in zoonotic and indicator bacteria from humans, animals and food in 2017/2018. EFSA Journal. 2020;18(3):e06007.</w:t>
      </w:r>
    </w:p>
    <w:p w14:paraId="6DA94CE6" w14:textId="77777777" w:rsidR="00D1449E" w:rsidRPr="00D1449E" w:rsidRDefault="00D1449E" w:rsidP="00D1449E">
      <w:pPr>
        <w:pStyle w:val="EndNoteBibliography"/>
        <w:spacing w:after="0"/>
      </w:pPr>
      <w:r w:rsidRPr="00D1449E">
        <w:t>27.</w:t>
      </w:r>
      <w:r w:rsidRPr="00D1449E">
        <w:tab/>
        <w:t>Authority EFS. The European Union Summary Report on Antimicrobial Resistance in zoonotic and indicator bacteria from humans, animals and food in 2018/2019. EFSA Journal. 2021;19(4).</w:t>
      </w:r>
    </w:p>
    <w:p w14:paraId="1CB29CE3" w14:textId="77777777" w:rsidR="00D1449E" w:rsidRPr="00D1449E" w:rsidRDefault="00D1449E" w:rsidP="00D1449E">
      <w:pPr>
        <w:pStyle w:val="EndNoteBibliography"/>
        <w:spacing w:after="0"/>
      </w:pPr>
      <w:r w:rsidRPr="00D1449E">
        <w:t>28.</w:t>
      </w:r>
      <w:r w:rsidRPr="00D1449E">
        <w:tab/>
        <w:t>Directorate VM. UK One Health Report - Joint report on antibiotic use and antibiotic resistance, 2013–2017. New Haw, Addlestone: Veterinary Medicines Directorate; 2019.</w:t>
      </w:r>
    </w:p>
    <w:p w14:paraId="3BF49295" w14:textId="77777777" w:rsidR="00D1449E" w:rsidRPr="00D1449E" w:rsidRDefault="00D1449E" w:rsidP="00D1449E">
      <w:pPr>
        <w:pStyle w:val="EndNoteBibliography"/>
        <w:spacing w:after="0"/>
      </w:pPr>
      <w:r w:rsidRPr="00D1449E">
        <w:t>29.</w:t>
      </w:r>
      <w:r w:rsidRPr="00D1449E">
        <w:tab/>
        <w:t>European Medicines Agency ESoVAC. Sales of veterinary antimicrobial agents in 31 European countries in 2014. European Medicines Agency; 2016.</w:t>
      </w:r>
    </w:p>
    <w:p w14:paraId="3E13B250" w14:textId="77777777" w:rsidR="00D1449E" w:rsidRPr="00D1449E" w:rsidRDefault="00D1449E" w:rsidP="00D1449E">
      <w:pPr>
        <w:pStyle w:val="EndNoteBibliography"/>
        <w:spacing w:after="0"/>
      </w:pPr>
      <w:r w:rsidRPr="00D1449E">
        <w:t>30.</w:t>
      </w:r>
      <w:r w:rsidRPr="00D1449E">
        <w:tab/>
        <w:t>European Medicines Agency ESoVAC. Sales of veterinary antimicrobial agents in 31 European countries in 2015. European Medicines Agency; 2017.</w:t>
      </w:r>
    </w:p>
    <w:p w14:paraId="3F5B9692" w14:textId="77777777" w:rsidR="00D1449E" w:rsidRPr="00D1449E" w:rsidRDefault="00D1449E" w:rsidP="00D1449E">
      <w:pPr>
        <w:pStyle w:val="EndNoteBibliography"/>
        <w:spacing w:after="0"/>
      </w:pPr>
      <w:r w:rsidRPr="00D1449E">
        <w:t>31.</w:t>
      </w:r>
      <w:r w:rsidRPr="00D1449E">
        <w:tab/>
        <w:t>European Medicines Agency ESoVAC. Sales of veterinary antimicrobial agents in 31 European countries in 2016. European Medicines Agency; 2018.</w:t>
      </w:r>
    </w:p>
    <w:p w14:paraId="654E1E90" w14:textId="77777777" w:rsidR="00D1449E" w:rsidRPr="00D1449E" w:rsidRDefault="00D1449E" w:rsidP="00D1449E">
      <w:pPr>
        <w:pStyle w:val="EndNoteBibliography"/>
        <w:spacing w:after="0"/>
      </w:pPr>
      <w:r w:rsidRPr="00D1449E">
        <w:t>32.</w:t>
      </w:r>
      <w:r w:rsidRPr="00D1449E">
        <w:tab/>
        <w:t>European Medicines Agency ESoVAC. Sales of veterinary antimicrobial agents in 31 European countries in 2017. European Medicines Agency; 2019.</w:t>
      </w:r>
    </w:p>
    <w:p w14:paraId="1543C783" w14:textId="77777777" w:rsidR="00D1449E" w:rsidRPr="00D1449E" w:rsidRDefault="00D1449E" w:rsidP="00D1449E">
      <w:pPr>
        <w:pStyle w:val="EndNoteBibliography"/>
        <w:spacing w:after="0"/>
      </w:pPr>
      <w:r w:rsidRPr="00D1449E">
        <w:t>33.</w:t>
      </w:r>
      <w:r w:rsidRPr="00D1449E">
        <w:tab/>
        <w:t>European Medicines Agency ESoVAC. Sales of veterinary antimicrobial agents in 31 European countries in 2018. European Medicines Agency; 2020.</w:t>
      </w:r>
    </w:p>
    <w:p w14:paraId="1CAFA16E" w14:textId="77777777" w:rsidR="00D1449E" w:rsidRPr="00D1449E" w:rsidRDefault="00D1449E" w:rsidP="00D1449E">
      <w:pPr>
        <w:pStyle w:val="EndNoteBibliography"/>
        <w:spacing w:after="0"/>
      </w:pPr>
      <w:r w:rsidRPr="00D1449E">
        <w:t>34.</w:t>
      </w:r>
      <w:r w:rsidRPr="00D1449E">
        <w:tab/>
        <w:t>Bean DC, Livermore DM, Papa I, Hall LM. Resistance among Escherichia coli to sulphonamides and other antimicrobials now little used in man. J Antimicrob Chemoth. 2005;56(5):962-4.</w:t>
      </w:r>
    </w:p>
    <w:p w14:paraId="17DE9D16" w14:textId="77777777" w:rsidR="00D1449E" w:rsidRPr="00D1449E" w:rsidRDefault="00D1449E" w:rsidP="00D1449E">
      <w:pPr>
        <w:pStyle w:val="EndNoteBibliography"/>
        <w:spacing w:after="0"/>
      </w:pPr>
      <w:r w:rsidRPr="00D1449E">
        <w:t>35.</w:t>
      </w:r>
      <w:r w:rsidRPr="00D1449E">
        <w:tab/>
        <w:t>Minter A, Retkute R. Approximate Bayesian Computation for infectious disease modelling. Epidemics. 2019;29:100368.</w:t>
      </w:r>
    </w:p>
    <w:p w14:paraId="456666F3" w14:textId="77777777" w:rsidR="00D1449E" w:rsidRPr="00D1449E" w:rsidRDefault="00D1449E" w:rsidP="00D1449E">
      <w:pPr>
        <w:pStyle w:val="EndNoteBibliography"/>
        <w:spacing w:after="0"/>
      </w:pPr>
      <w:r w:rsidRPr="00D1449E">
        <w:t>36.</w:t>
      </w:r>
      <w:r w:rsidRPr="00D1449E">
        <w:tab/>
        <w:t>Saltelli A, Bolado R. An alternative way to compute Fourier amplitude sensitivity test (FAST). Computational Statistics &amp; Data Analysis. 1998;26(4):445-60.</w:t>
      </w:r>
    </w:p>
    <w:p w14:paraId="3115C298" w14:textId="1156DB7E" w:rsidR="00D1449E" w:rsidRPr="00D1449E" w:rsidRDefault="00D1449E" w:rsidP="00D1449E">
      <w:pPr>
        <w:pStyle w:val="EndNoteBibliography"/>
        <w:spacing w:after="0"/>
      </w:pPr>
      <w:r w:rsidRPr="00D1449E">
        <w:t>37.</w:t>
      </w:r>
      <w:r w:rsidRPr="00D1449E">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D1449E">
          <w:rPr>
            <w:rStyle w:val="Hyperlink"/>
          </w:rPr>
          <w:t>https://www.gov.uk/guidance/disease-prevention-for-livestock-farmers</w:t>
        </w:r>
      </w:hyperlink>
      <w:r w:rsidRPr="00D1449E">
        <w:t>.</w:t>
      </w:r>
    </w:p>
    <w:p w14:paraId="19FA4075" w14:textId="77777777" w:rsidR="00D1449E" w:rsidRPr="00D1449E" w:rsidRDefault="00D1449E" w:rsidP="00D1449E">
      <w:pPr>
        <w:pStyle w:val="EndNoteBibliography"/>
        <w:spacing w:after="0"/>
      </w:pPr>
      <w:r w:rsidRPr="00D1449E">
        <w:t>38.</w:t>
      </w:r>
      <w:r w:rsidRPr="00D1449E">
        <w:tab/>
        <w:t>Aarestrup FM, Wegener HC, Collignon P. Resistance in bacteria of the food chain: epidemiology and control strategies. Expert review of anti-infective therapy. 2008;6(5):733-50.</w:t>
      </w:r>
    </w:p>
    <w:p w14:paraId="5AEDE3DC" w14:textId="77777777" w:rsidR="00D1449E" w:rsidRPr="00D1449E" w:rsidRDefault="00D1449E" w:rsidP="00D1449E">
      <w:pPr>
        <w:pStyle w:val="EndNoteBibliography"/>
        <w:spacing w:after="0"/>
      </w:pPr>
      <w:r w:rsidRPr="00D1449E">
        <w:t>39.</w:t>
      </w:r>
      <w:r w:rsidRPr="00D1449E">
        <w:tab/>
        <w:t>Unicomb LE. Food safety: pathogen transmission routes, hygiene practices and prevention. Journal of health, population, and nutrition. 2009;27(5):599.</w:t>
      </w:r>
    </w:p>
    <w:p w14:paraId="7AFB9CDB" w14:textId="77777777" w:rsidR="00D1449E" w:rsidRPr="00D1449E" w:rsidRDefault="00D1449E" w:rsidP="00D1449E">
      <w:pPr>
        <w:pStyle w:val="EndNoteBibliography"/>
        <w:spacing w:after="0"/>
      </w:pPr>
      <w:r w:rsidRPr="00D1449E">
        <w:lastRenderedPageBreak/>
        <w:t>40.</w:t>
      </w:r>
      <w:r w:rsidRPr="00D1449E">
        <w:tab/>
        <w:t>Cheng G, Hao H, Xie S, Wang X, Dai M, Huang L, et al. Antibiotic alternatives: the substitution of antibiotics in animal husbandry? Frontiers in microbiology. 2014;5:217.</w:t>
      </w:r>
    </w:p>
    <w:p w14:paraId="7CC25CB1" w14:textId="77777777" w:rsidR="00D1449E" w:rsidRPr="00D1449E" w:rsidRDefault="00D1449E" w:rsidP="00D1449E">
      <w:pPr>
        <w:pStyle w:val="EndNoteBibliography"/>
        <w:spacing w:after="0"/>
      </w:pPr>
      <w:r w:rsidRPr="00D1449E">
        <w:t>41.</w:t>
      </w:r>
      <w:r w:rsidRPr="00D1449E">
        <w:tab/>
        <w:t>Cogliani C, Goossens H, Greko C. Restricting antimicrobial use in food animals: lessons from Europe. Microbe. 2011;6(6):274.</w:t>
      </w:r>
    </w:p>
    <w:p w14:paraId="74EB7470" w14:textId="77777777" w:rsidR="00D1449E" w:rsidRPr="00D1449E" w:rsidRDefault="00D1449E" w:rsidP="00D1449E">
      <w:pPr>
        <w:pStyle w:val="EndNoteBibliography"/>
        <w:spacing w:after="0"/>
      </w:pPr>
      <w:r w:rsidRPr="00D1449E">
        <w:t>42.</w:t>
      </w:r>
      <w:r w:rsidRPr="00D1449E">
        <w:tab/>
        <w:t>Davies NG, Flasche S, Jit M, Atkins KE. Within-host dynamics shape antibiotic resistance in commensal bacteria. Nature ecology &amp; evolution. 2019;3(3):440-9.</w:t>
      </w:r>
    </w:p>
    <w:p w14:paraId="70B64478" w14:textId="77777777" w:rsidR="00D1449E" w:rsidRPr="00D1449E" w:rsidRDefault="00D1449E" w:rsidP="00D1449E">
      <w:pPr>
        <w:pStyle w:val="EndNoteBibliography"/>
      </w:pPr>
      <w:r w:rsidRPr="00D1449E">
        <w:t>43.</w:t>
      </w:r>
      <w:r w:rsidRPr="00D1449E">
        <w:tab/>
        <w:t>Van Boeckel TP, Pires J, Silvester R, Zhao C, Song J, Criscuolo NG, et al. Global trends in antimicrobial resistance in animals in low-and middle-income countries. Science. 2019;365(6459).</w:t>
      </w:r>
    </w:p>
    <w:p w14:paraId="7AE208EA" w14:textId="0BA915CE"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B0343"/>
    <w:multiLevelType w:val="hybridMultilevel"/>
    <w:tmpl w:val="C27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5"/>
  </w:num>
  <w:num w:numId="5">
    <w:abstractNumId w:val="2"/>
  </w:num>
  <w:num w:numId="6">
    <w:abstractNumId w:val="16"/>
  </w:num>
  <w:num w:numId="7">
    <w:abstractNumId w:val="1"/>
  </w:num>
  <w:num w:numId="8">
    <w:abstractNumId w:val="8"/>
  </w:num>
  <w:num w:numId="9">
    <w:abstractNumId w:val="4"/>
  </w:num>
  <w:num w:numId="10">
    <w:abstractNumId w:val="18"/>
  </w:num>
  <w:num w:numId="11">
    <w:abstractNumId w:val="3"/>
  </w:num>
  <w:num w:numId="12">
    <w:abstractNumId w:val="19"/>
  </w:num>
  <w:num w:numId="13">
    <w:abstractNumId w:val="15"/>
  </w:num>
  <w:num w:numId="14">
    <w:abstractNumId w:val="10"/>
  </w:num>
  <w:num w:numId="15">
    <w:abstractNumId w:val="12"/>
  </w:num>
  <w:num w:numId="16">
    <w:abstractNumId w:val="11"/>
  </w:num>
  <w:num w:numId="17">
    <w:abstractNumId w:val="13"/>
  </w:num>
  <w:num w:numId="18">
    <w:abstractNumId w:val="17"/>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97C81"/>
    <w:rsid w:val="000B01BB"/>
    <w:rsid w:val="000B1A50"/>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18AA"/>
    <w:rsid w:val="001D6A68"/>
    <w:rsid w:val="001F1336"/>
    <w:rsid w:val="00200F56"/>
    <w:rsid w:val="00210325"/>
    <w:rsid w:val="002135EA"/>
    <w:rsid w:val="0023286C"/>
    <w:rsid w:val="00243A06"/>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1221"/>
    <w:rsid w:val="00322B49"/>
    <w:rsid w:val="003278B4"/>
    <w:rsid w:val="00342F0D"/>
    <w:rsid w:val="00343AF8"/>
    <w:rsid w:val="003456D4"/>
    <w:rsid w:val="00370782"/>
    <w:rsid w:val="00376000"/>
    <w:rsid w:val="00382C35"/>
    <w:rsid w:val="0038345C"/>
    <w:rsid w:val="00390386"/>
    <w:rsid w:val="00394BCD"/>
    <w:rsid w:val="00395A81"/>
    <w:rsid w:val="00395FA4"/>
    <w:rsid w:val="003B0B12"/>
    <w:rsid w:val="003C0C75"/>
    <w:rsid w:val="003C4859"/>
    <w:rsid w:val="003D1B9A"/>
    <w:rsid w:val="003D551E"/>
    <w:rsid w:val="00400728"/>
    <w:rsid w:val="00404368"/>
    <w:rsid w:val="004172AE"/>
    <w:rsid w:val="0045009A"/>
    <w:rsid w:val="004842D8"/>
    <w:rsid w:val="004874DA"/>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2D34"/>
    <w:rsid w:val="00623789"/>
    <w:rsid w:val="00645E52"/>
    <w:rsid w:val="00646CC9"/>
    <w:rsid w:val="00664450"/>
    <w:rsid w:val="00670C69"/>
    <w:rsid w:val="00672745"/>
    <w:rsid w:val="006835D6"/>
    <w:rsid w:val="006849B8"/>
    <w:rsid w:val="0068769D"/>
    <w:rsid w:val="00690355"/>
    <w:rsid w:val="00691F18"/>
    <w:rsid w:val="00694276"/>
    <w:rsid w:val="0069727F"/>
    <w:rsid w:val="00697720"/>
    <w:rsid w:val="006A1BE9"/>
    <w:rsid w:val="006A4934"/>
    <w:rsid w:val="006D300A"/>
    <w:rsid w:val="00704132"/>
    <w:rsid w:val="007075A3"/>
    <w:rsid w:val="00713317"/>
    <w:rsid w:val="00714F3F"/>
    <w:rsid w:val="00717076"/>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02D6"/>
    <w:rsid w:val="00836F29"/>
    <w:rsid w:val="0084160B"/>
    <w:rsid w:val="0084700F"/>
    <w:rsid w:val="00856D37"/>
    <w:rsid w:val="00857445"/>
    <w:rsid w:val="00880247"/>
    <w:rsid w:val="008829B4"/>
    <w:rsid w:val="00885806"/>
    <w:rsid w:val="00886449"/>
    <w:rsid w:val="00887BA8"/>
    <w:rsid w:val="008B1C3F"/>
    <w:rsid w:val="008B37AC"/>
    <w:rsid w:val="008B4448"/>
    <w:rsid w:val="008C4463"/>
    <w:rsid w:val="008C784C"/>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74666"/>
    <w:rsid w:val="00A9171F"/>
    <w:rsid w:val="00A9283D"/>
    <w:rsid w:val="00A93B74"/>
    <w:rsid w:val="00A96328"/>
    <w:rsid w:val="00AA5EAF"/>
    <w:rsid w:val="00AB2E5C"/>
    <w:rsid w:val="00AB5FD4"/>
    <w:rsid w:val="00AB6D83"/>
    <w:rsid w:val="00AE63BE"/>
    <w:rsid w:val="00AF468F"/>
    <w:rsid w:val="00B101C1"/>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3E5E"/>
    <w:rsid w:val="00B85CE4"/>
    <w:rsid w:val="00B87C52"/>
    <w:rsid w:val="00B9105F"/>
    <w:rsid w:val="00BA0A5B"/>
    <w:rsid w:val="00BB377C"/>
    <w:rsid w:val="00BB686B"/>
    <w:rsid w:val="00BC05D5"/>
    <w:rsid w:val="00BC3D2D"/>
    <w:rsid w:val="00BC500C"/>
    <w:rsid w:val="00BD4004"/>
    <w:rsid w:val="00BD7749"/>
    <w:rsid w:val="00BF3300"/>
    <w:rsid w:val="00C02277"/>
    <w:rsid w:val="00C02537"/>
    <w:rsid w:val="00C0476B"/>
    <w:rsid w:val="00C122B2"/>
    <w:rsid w:val="00C21102"/>
    <w:rsid w:val="00C24730"/>
    <w:rsid w:val="00C27CC4"/>
    <w:rsid w:val="00C30AC9"/>
    <w:rsid w:val="00C32C79"/>
    <w:rsid w:val="00C3684B"/>
    <w:rsid w:val="00C53D33"/>
    <w:rsid w:val="00C5770A"/>
    <w:rsid w:val="00C74C7E"/>
    <w:rsid w:val="00C761DB"/>
    <w:rsid w:val="00C77E26"/>
    <w:rsid w:val="00C9190F"/>
    <w:rsid w:val="00C95575"/>
    <w:rsid w:val="00CA6002"/>
    <w:rsid w:val="00CC042B"/>
    <w:rsid w:val="00CC0A96"/>
    <w:rsid w:val="00CC7C17"/>
    <w:rsid w:val="00CD0997"/>
    <w:rsid w:val="00CD09DF"/>
    <w:rsid w:val="00CD572E"/>
    <w:rsid w:val="00CE6631"/>
    <w:rsid w:val="00D11C96"/>
    <w:rsid w:val="00D1449E"/>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29AA"/>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16E"/>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EF7D0D"/>
    <w:rsid w:val="00F06C62"/>
    <w:rsid w:val="00F115B2"/>
    <w:rsid w:val="00F1415A"/>
    <w:rsid w:val="00F3365D"/>
    <w:rsid w:val="00F45141"/>
    <w:rsid w:val="00F518A6"/>
    <w:rsid w:val="00F545E4"/>
    <w:rsid w:val="00F651CA"/>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1">
    <w:name w:val="Unresolved Mention1"/>
    <w:basedOn w:val="DefaultParagraphFont"/>
    <w:uiPriority w:val="99"/>
    <w:semiHidden/>
    <w:unhideWhenUsed/>
    <w:rsid w:val="00DF7CC2"/>
    <w:rPr>
      <w:color w:val="605E5C"/>
      <w:shd w:val="clear" w:color="auto" w:fill="E1DFDD"/>
    </w:rPr>
  </w:style>
  <w:style w:type="character" w:styleId="Strong">
    <w:name w:val="Strong"/>
    <w:basedOn w:val="DefaultParagraphFont"/>
    <w:uiPriority w:val="22"/>
    <w:qFormat/>
    <w:rsid w:val="008302D6"/>
    <w:rPr>
      <w:b/>
      <w:bCs/>
    </w:rPr>
  </w:style>
  <w:style w:type="character" w:styleId="UnresolvedMention">
    <w:name w:val="Unresolved Mention"/>
    <w:basedOn w:val="DefaultParagraphFont"/>
    <w:uiPriority w:val="99"/>
    <w:semiHidden/>
    <w:unhideWhenUsed/>
    <w:rsid w:val="00D14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89299">
      <w:bodyDiv w:val="1"/>
      <w:marLeft w:val="0"/>
      <w:marRight w:val="0"/>
      <w:marTop w:val="0"/>
      <w:marBottom w:val="0"/>
      <w:divBdr>
        <w:top w:val="none" w:sz="0" w:space="0" w:color="auto"/>
        <w:left w:val="none" w:sz="0" w:space="0" w:color="auto"/>
        <w:bottom w:val="none" w:sz="0" w:space="0" w:color="auto"/>
        <w:right w:val="none" w:sz="0" w:space="0" w:color="auto"/>
      </w:divBdr>
    </w:div>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 w:id="185502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D99E3-1B19-4349-BBF6-B652136B9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12926</TotalTime>
  <Pages>25</Pages>
  <Words>11367</Words>
  <Characters>64798</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39</cp:revision>
  <dcterms:created xsi:type="dcterms:W3CDTF">2021-10-13T09:51:00Z</dcterms:created>
  <dcterms:modified xsi:type="dcterms:W3CDTF">2021-11-01T21:08:00Z</dcterms:modified>
</cp:coreProperties>
</file>