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C503E" w14:textId="6FAB3452" w:rsidR="00BA4009" w:rsidRDefault="00BA4009" w:rsidP="001C40C2">
      <w:pPr>
        <w:spacing w:line="360" w:lineRule="auto"/>
        <w:jc w:val="center"/>
        <w:rPr>
          <w:b/>
          <w:bCs/>
        </w:rPr>
      </w:pPr>
      <w:r w:rsidRPr="00BA4009">
        <w:rPr>
          <w:b/>
          <w:bCs/>
        </w:rPr>
        <w:t xml:space="preserve">Response to Reviewers: Modelling the effects of antibiotic usage in livestock on human </w:t>
      </w:r>
      <w:r w:rsidR="00C702C8" w:rsidRPr="00BA4009">
        <w:rPr>
          <w:b/>
          <w:bCs/>
        </w:rPr>
        <w:t>salmonellosis.</w:t>
      </w:r>
    </w:p>
    <w:p w14:paraId="70A0FD8E" w14:textId="0B1057AE" w:rsidR="00BA4009" w:rsidRDefault="00BA4009" w:rsidP="001C40C2">
      <w:pPr>
        <w:spacing w:line="360" w:lineRule="auto"/>
        <w:jc w:val="center"/>
      </w:pPr>
      <w:r w:rsidRPr="00BA4009">
        <w:br/>
      </w:r>
      <w:r w:rsidRPr="001C40C2">
        <w:rPr>
          <w:rFonts w:cstheme="minorHAnsi"/>
          <w:b/>
          <w:bCs/>
          <w:color w:val="FF0000"/>
        </w:rPr>
        <w:t>Reviewer Point 1.1</w:t>
      </w:r>
      <w:r w:rsidR="00CD1D20" w:rsidRPr="001C40C2">
        <w:rPr>
          <w:rFonts w:cstheme="minorHAnsi"/>
          <w:b/>
          <w:bCs/>
          <w:color w:val="FF0000"/>
        </w:rPr>
        <w:t>:</w:t>
      </w:r>
      <w:r w:rsidRPr="001C40C2">
        <w:rPr>
          <w:rFonts w:cstheme="minorHAnsi"/>
          <w:i/>
          <w:iCs/>
          <w:color w:val="FF0000"/>
        </w:rPr>
        <w:t xml:space="preserve"> </w:t>
      </w:r>
      <w:r w:rsidRPr="001C40C2">
        <w:rPr>
          <w:color w:val="FF0000"/>
        </w:rPr>
        <w:t>The paper relies heavily on the model, but I found that the study did not align the work well with One Health or human health. Some additional data on the actual risks of salmonellosis from eating products from these animals is not explained and some additional context is needed.</w:t>
      </w:r>
    </w:p>
    <w:p w14:paraId="3CC5BFDF" w14:textId="77777777" w:rsidR="00BA4009" w:rsidRDefault="00BA4009" w:rsidP="001C40C2">
      <w:pPr>
        <w:spacing w:line="360" w:lineRule="auto"/>
      </w:pPr>
    </w:p>
    <w:p w14:paraId="66D1BBD4" w14:textId="4C78D169" w:rsidR="00E55867" w:rsidRDefault="00956A3B" w:rsidP="001C40C2">
      <w:pPr>
        <w:spacing w:line="360" w:lineRule="auto"/>
        <w:jc w:val="both"/>
      </w:pPr>
      <w:r>
        <w:t>We thank the reviewer for their comment. We have sought t</w:t>
      </w:r>
      <w:r w:rsidR="00E55867">
        <w:t>o clarify the wording throughout the manuscript</w:t>
      </w:r>
      <w:r w:rsidR="0024316E">
        <w:t>,</w:t>
      </w:r>
      <w:r w:rsidR="00E55867">
        <w:t xml:space="preserve"> that antibiotic curtailment interventions in livestock have an impact on </w:t>
      </w:r>
      <w:r w:rsidR="00E55867" w:rsidRPr="00E55867">
        <w:rPr>
          <w:i/>
          <w:iCs/>
        </w:rPr>
        <w:t>human</w:t>
      </w:r>
      <w:r w:rsidR="00E55867">
        <w:t xml:space="preserve"> salmonellosis, and therefore ha</w:t>
      </w:r>
      <w:r w:rsidR="0024316E">
        <w:t>s</w:t>
      </w:r>
      <w:r w:rsidR="00E55867">
        <w:t xml:space="preserve"> a clear one health link. Examples can be found in the </w:t>
      </w:r>
      <w:r w:rsidR="00EF4B13" w:rsidRPr="00EF4B13">
        <w:rPr>
          <w:i/>
          <w:iCs/>
        </w:rPr>
        <w:t>R</w:t>
      </w:r>
      <w:r w:rsidR="00E55867" w:rsidRPr="00EF4B13">
        <w:rPr>
          <w:i/>
          <w:iCs/>
        </w:rPr>
        <w:t>esults</w:t>
      </w:r>
      <w:r w:rsidR="00E55867">
        <w:t xml:space="preserve"> and the </w:t>
      </w:r>
      <w:r w:rsidR="00E55867" w:rsidRPr="00EF4B13">
        <w:rPr>
          <w:i/>
          <w:iCs/>
        </w:rPr>
        <w:t>Discussion</w:t>
      </w:r>
      <w:r w:rsidR="00EF4B13">
        <w:t xml:space="preserve"> sections (</w:t>
      </w:r>
      <w:r w:rsidR="00EF4B13" w:rsidRPr="00EF4B13">
        <w:rPr>
          <w:highlight w:val="cyan"/>
        </w:rPr>
        <w:t xml:space="preserve">lines </w:t>
      </w:r>
      <w:r w:rsidR="001C40C2">
        <w:rPr>
          <w:highlight w:val="cyan"/>
        </w:rPr>
        <w:t>240</w:t>
      </w:r>
      <w:r w:rsidR="00EF4B13" w:rsidRPr="00EF4B13">
        <w:rPr>
          <w:highlight w:val="cyan"/>
        </w:rPr>
        <w:t>-</w:t>
      </w:r>
      <w:r w:rsidR="001C40C2">
        <w:rPr>
          <w:highlight w:val="cyan"/>
        </w:rPr>
        <w:t>241</w:t>
      </w:r>
      <w:r w:rsidR="00EF4B13" w:rsidRPr="00EF4B13">
        <w:rPr>
          <w:highlight w:val="cyan"/>
        </w:rPr>
        <w:t xml:space="preserve"> and </w:t>
      </w:r>
      <w:r w:rsidR="001C40C2">
        <w:rPr>
          <w:highlight w:val="cyan"/>
        </w:rPr>
        <w:t>348</w:t>
      </w:r>
      <w:r w:rsidR="00EF4B13" w:rsidRPr="00EF4B13">
        <w:rPr>
          <w:highlight w:val="cyan"/>
        </w:rPr>
        <w:t>-</w:t>
      </w:r>
      <w:r w:rsidR="001C40C2" w:rsidRPr="001C40C2">
        <w:rPr>
          <w:highlight w:val="cyan"/>
        </w:rPr>
        <w:t>349</w:t>
      </w:r>
      <w:r w:rsidR="00EF4B13">
        <w:t>)</w:t>
      </w:r>
      <w:r w:rsidR="00E55867">
        <w:t>.</w:t>
      </w:r>
    </w:p>
    <w:p w14:paraId="35C1E07C" w14:textId="77777777" w:rsidR="00E55867" w:rsidRDefault="00E55867" w:rsidP="001C40C2">
      <w:pPr>
        <w:spacing w:line="360" w:lineRule="auto"/>
        <w:jc w:val="both"/>
      </w:pPr>
    </w:p>
    <w:p w14:paraId="0B7E7648" w14:textId="53861BFF" w:rsidR="00EF4B13" w:rsidRDefault="001C40C2" w:rsidP="005778F2">
      <w:pPr>
        <w:spacing w:line="360" w:lineRule="auto"/>
        <w:jc w:val="center"/>
      </w:pPr>
      <w:r>
        <w:rPr>
          <w:rFonts w:cstheme="minorHAnsi"/>
        </w:rPr>
        <w:t>“</w:t>
      </w:r>
      <w:r w:rsidRPr="001C40C2">
        <w:rPr>
          <w:rFonts w:cstheme="minorHAnsi"/>
          <w:i/>
          <w:iCs/>
        </w:rPr>
        <w:t xml:space="preserve">Curtailment of antibiotic usage (τ → 0 g/PCU) in the fattening pigs case studies resulted in the largest increase in the daily incidence of </w:t>
      </w:r>
      <w:r w:rsidRPr="001C40C2">
        <w:rPr>
          <w:rFonts w:cstheme="minorHAnsi"/>
          <w:i/>
          <w:iCs/>
          <w:highlight w:val="cyan"/>
        </w:rPr>
        <w:t>human</w:t>
      </w:r>
      <w:r w:rsidRPr="001C40C2">
        <w:rPr>
          <w:rFonts w:cstheme="minorHAnsi"/>
          <w:i/>
          <w:iCs/>
        </w:rPr>
        <w:t xml:space="preserve"> salmonellosis with a 1.11-fold…</w:t>
      </w:r>
      <w:r>
        <w:rPr>
          <w:rFonts w:cstheme="minorHAnsi"/>
        </w:rPr>
        <w:t>”</w:t>
      </w:r>
    </w:p>
    <w:p w14:paraId="613AFD22" w14:textId="77777777" w:rsidR="00CD1D20" w:rsidRDefault="00CD1D20" w:rsidP="001C40C2">
      <w:pPr>
        <w:spacing w:line="360" w:lineRule="auto"/>
        <w:jc w:val="both"/>
      </w:pPr>
    </w:p>
    <w:p w14:paraId="6D95D82A" w14:textId="67BC015C" w:rsidR="001C40C2" w:rsidRPr="00A64262" w:rsidRDefault="001C40C2" w:rsidP="005778F2">
      <w:pPr>
        <w:pStyle w:val="NoSpacing"/>
        <w:spacing w:line="360" w:lineRule="auto"/>
        <w:jc w:val="center"/>
        <w:rPr>
          <w:rFonts w:cstheme="minorHAnsi"/>
          <w:sz w:val="24"/>
          <w:szCs w:val="24"/>
        </w:rPr>
      </w:pPr>
      <w:r>
        <w:rPr>
          <w:rFonts w:cstheme="minorHAnsi"/>
          <w:sz w:val="24"/>
          <w:szCs w:val="24"/>
        </w:rPr>
        <w:t>“</w:t>
      </w:r>
      <w:r w:rsidRPr="001C40C2">
        <w:rPr>
          <w:rFonts w:cstheme="minorHAnsi"/>
          <w:i/>
          <w:iCs/>
          <w:sz w:val="24"/>
          <w:szCs w:val="24"/>
        </w:rPr>
        <w:t xml:space="preserve">…were found to effectively mitigate increases in the daily incidence of </w:t>
      </w:r>
      <w:r w:rsidRPr="001C40C2">
        <w:rPr>
          <w:rFonts w:cstheme="minorHAnsi"/>
          <w:i/>
          <w:iCs/>
          <w:sz w:val="24"/>
          <w:szCs w:val="24"/>
          <w:highlight w:val="cyan"/>
        </w:rPr>
        <w:t>human</w:t>
      </w:r>
      <w:r w:rsidRPr="001C40C2">
        <w:rPr>
          <w:rFonts w:cstheme="minorHAnsi"/>
          <w:i/>
          <w:iCs/>
          <w:sz w:val="24"/>
          <w:szCs w:val="24"/>
        </w:rPr>
        <w:t xml:space="preserve"> salmonellosis following curtailment of antibiotic usage in livestock.</w:t>
      </w:r>
      <w:r>
        <w:rPr>
          <w:rFonts w:cstheme="minorHAnsi"/>
          <w:sz w:val="24"/>
          <w:szCs w:val="24"/>
        </w:rPr>
        <w:t>”</w:t>
      </w:r>
    </w:p>
    <w:p w14:paraId="5CFA63A4" w14:textId="77777777" w:rsidR="00EF4B13" w:rsidRDefault="00EF4B13" w:rsidP="001C40C2">
      <w:pPr>
        <w:spacing w:line="360" w:lineRule="auto"/>
        <w:jc w:val="both"/>
      </w:pPr>
    </w:p>
    <w:p w14:paraId="08DAEFF4" w14:textId="2968580A" w:rsidR="00E55867" w:rsidRDefault="00E55867" w:rsidP="001C40C2">
      <w:pPr>
        <w:spacing w:line="360" w:lineRule="auto"/>
        <w:jc w:val="both"/>
      </w:pPr>
      <w:r>
        <w:t xml:space="preserve">We also agree with the reviewer regarding the “actual risks of salmonellosis from eating products” not being discussed. We now also mention that this was a limitation </w:t>
      </w:r>
      <w:r w:rsidR="00EF4B13">
        <w:t xml:space="preserve">to the study, and that future studies aiming to </w:t>
      </w:r>
      <w:r w:rsidR="0024316E">
        <w:t xml:space="preserve">more accurately </w:t>
      </w:r>
      <w:r w:rsidR="00EF4B13">
        <w:t>describe the farm-to-fork pathway could utilise dose-response modelling to simulate infection probability upon exposure, as seen in risk assessment literature (</w:t>
      </w:r>
      <w:r w:rsidR="00EF4B13" w:rsidRPr="00EF4B13">
        <w:rPr>
          <w:highlight w:val="cyan"/>
        </w:rPr>
        <w:t xml:space="preserve">lines </w:t>
      </w:r>
      <w:r w:rsidR="005778F2">
        <w:rPr>
          <w:highlight w:val="cyan"/>
        </w:rPr>
        <w:t>41</w:t>
      </w:r>
      <w:r w:rsidR="009F649F">
        <w:rPr>
          <w:highlight w:val="cyan"/>
        </w:rPr>
        <w:t>6</w:t>
      </w:r>
      <w:r w:rsidR="00EF4B13" w:rsidRPr="00EF4B13">
        <w:rPr>
          <w:highlight w:val="cyan"/>
        </w:rPr>
        <w:t>-</w:t>
      </w:r>
      <w:r w:rsidR="005778F2" w:rsidRPr="005778F2">
        <w:rPr>
          <w:highlight w:val="cyan"/>
        </w:rPr>
        <w:t>4</w:t>
      </w:r>
      <w:r w:rsidR="009F649F" w:rsidRPr="009F649F">
        <w:rPr>
          <w:highlight w:val="cyan"/>
        </w:rPr>
        <w:t>20</w:t>
      </w:r>
      <w:r w:rsidR="00EF4B13">
        <w:t xml:space="preserve">). </w:t>
      </w:r>
    </w:p>
    <w:p w14:paraId="19F30700" w14:textId="77777777" w:rsidR="00E55867" w:rsidRDefault="00E55867" w:rsidP="001C40C2">
      <w:pPr>
        <w:spacing w:line="360" w:lineRule="auto"/>
      </w:pPr>
    </w:p>
    <w:p w14:paraId="104035B4" w14:textId="14AF8BA3" w:rsidR="00C702C8" w:rsidRDefault="00CD1D20" w:rsidP="005778F2">
      <w:pPr>
        <w:spacing w:line="360" w:lineRule="auto"/>
        <w:jc w:val="center"/>
      </w:pPr>
      <w:r>
        <w:t>“</w:t>
      </w:r>
      <w:r w:rsidR="009F649F" w:rsidRPr="009F649F">
        <w:rPr>
          <w:rFonts w:cstheme="minorHAnsi"/>
          <w:bCs/>
          <w:i/>
          <w:iCs/>
          <w:highlight w:val="cyan"/>
        </w:rPr>
        <w:t>For example, t</w:t>
      </w:r>
      <w:r w:rsidR="009F649F" w:rsidRPr="009F649F">
        <w:rPr>
          <w:i/>
          <w:iCs/>
          <w:highlight w:val="cyan"/>
        </w:rPr>
        <w:t xml:space="preserve">ransmission of Salmonella spp. from animals-to-humans was simplified using a single parameter in this study. Future models could utilise non-linear microbial load dose-response models to more accurately quantify infection risk upon human exposure to Salmonella spp. on food products </w:t>
      </w:r>
      <w:r w:rsidR="009F649F" w:rsidRPr="009F649F">
        <w:rPr>
          <w:i/>
          <w:iCs/>
          <w:highlight w:val="cyan"/>
        </w:rPr>
        <w:fldChar w:fldCharType="begin"/>
      </w:r>
      <w:r w:rsidR="009F649F">
        <w:rPr>
          <w:i/>
          <w:iCs/>
          <w:highlight w:val="cyan"/>
        </w:rPr>
        <w:instrText xml:space="preserve"> ADDIN EN.CITE &lt;EndNote&gt;&lt;Cite&gt;&lt;Author&gt;Teunis&lt;/Author&gt;&lt;Year&gt;2000&lt;/Year&gt;&lt;RecNum&gt;464&lt;/RecNum&gt;&lt;DisplayText&gt;[1]&lt;/DisplayText&gt;&lt;record&gt;&lt;rec-number&gt;464&lt;/rec-number&gt;&lt;foreign-keys&gt;&lt;key app="EN" db-id="220f9fvwmzexdkefseqvwpscaepfaza5z05x" timestamp="1696497470"&gt;464&lt;/key&gt;&lt;/foreign-keys&gt;&lt;ref-type name="Journal Article"&gt;17&lt;/ref-type&gt;&lt;contributors&gt;&lt;authors&gt;&lt;author&gt;Teunis, P. F. M.&lt;/author&gt;&lt;author&gt;Havelaar, A. H.&lt;/author&gt;&lt;/authors&gt;&lt;/contributors&gt;&lt;titles&gt;&lt;title&gt;The Beta Poisson Dose-Response Model Is Not a Single-Hit Model&lt;/title&gt;&lt;secondary-title&gt;Risk Analysis&lt;/secondary-title&gt;&lt;/titles&gt;&lt;periodical&gt;&lt;full-title&gt;Risk Analysis&lt;/full-title&gt;&lt;/periodical&gt;&lt;pages&gt;513-520&lt;/pages&gt;&lt;volume&gt;20&lt;/volume&gt;&lt;number&gt;4&lt;/number&gt;&lt;dates&gt;&lt;year&gt;2000&lt;/year&gt;&lt;/dates&gt;&lt;isbn&gt;0272-4332&lt;/isbn&gt;&lt;urls&gt;&lt;related-urls&gt;&lt;url&gt;https://onlinelibrary.wiley.com/doi/abs/10.1111/0272-4332.204048&lt;/url&gt;&lt;/related-urls&gt;&lt;/urls&gt;&lt;electronic-resource-num&gt;https://doi.org/10.1111/0272-4332.204048&lt;/electronic-resource-num&gt;&lt;/record&gt;&lt;/Cite&gt;&lt;/EndNote&gt;</w:instrText>
      </w:r>
      <w:r w:rsidR="009F649F" w:rsidRPr="009F649F">
        <w:rPr>
          <w:i/>
          <w:iCs/>
          <w:highlight w:val="cyan"/>
        </w:rPr>
        <w:fldChar w:fldCharType="separate"/>
      </w:r>
      <w:r w:rsidR="009F649F">
        <w:rPr>
          <w:i/>
          <w:iCs/>
          <w:noProof/>
          <w:highlight w:val="cyan"/>
        </w:rPr>
        <w:t>[1]</w:t>
      </w:r>
      <w:r w:rsidR="009F649F" w:rsidRPr="009F649F">
        <w:rPr>
          <w:i/>
          <w:iCs/>
          <w:highlight w:val="cyan"/>
        </w:rPr>
        <w:fldChar w:fldCharType="end"/>
      </w:r>
      <w:r>
        <w:t>”</w:t>
      </w:r>
    </w:p>
    <w:p w14:paraId="0A9472E9" w14:textId="77777777" w:rsidR="002128B6" w:rsidRDefault="002128B6" w:rsidP="005778F2">
      <w:pPr>
        <w:spacing w:line="360" w:lineRule="auto"/>
        <w:jc w:val="center"/>
      </w:pPr>
    </w:p>
    <w:p w14:paraId="00756B5A" w14:textId="77777777" w:rsidR="002128B6" w:rsidRDefault="002128B6" w:rsidP="005778F2">
      <w:pPr>
        <w:spacing w:line="360" w:lineRule="auto"/>
        <w:jc w:val="center"/>
      </w:pPr>
    </w:p>
    <w:p w14:paraId="19FC5FB0" w14:textId="473F5509" w:rsidR="00BA4009" w:rsidRPr="001C40C2" w:rsidRDefault="00BA4009" w:rsidP="001C40C2">
      <w:pPr>
        <w:spacing w:line="360" w:lineRule="auto"/>
        <w:jc w:val="center"/>
        <w:rPr>
          <w:color w:val="FF0000"/>
        </w:rPr>
      </w:pPr>
      <w:r w:rsidRPr="001C40C2">
        <w:rPr>
          <w:rFonts w:cstheme="minorHAnsi"/>
          <w:b/>
          <w:bCs/>
          <w:color w:val="FF0000"/>
        </w:rPr>
        <w:lastRenderedPageBreak/>
        <w:t>Reviewer Point 1.2</w:t>
      </w:r>
      <w:r w:rsidR="00CD1D20" w:rsidRPr="001C40C2">
        <w:rPr>
          <w:rFonts w:cstheme="minorHAnsi"/>
          <w:b/>
          <w:bCs/>
          <w:color w:val="FF0000"/>
        </w:rPr>
        <w:t>:</w:t>
      </w:r>
      <w:r w:rsidRPr="001C40C2">
        <w:rPr>
          <w:rFonts w:cstheme="minorHAnsi"/>
          <w:color w:val="FF0000"/>
        </w:rPr>
        <w:t xml:space="preserve"> </w:t>
      </w:r>
      <w:r w:rsidRPr="001C40C2">
        <w:rPr>
          <w:color w:val="FF0000"/>
        </w:rPr>
        <w:t>The authors state that Listeria and VTEC would have different dynamics (L393). I did not think this section was explained well.</w:t>
      </w:r>
    </w:p>
    <w:p w14:paraId="0EE458A3" w14:textId="77777777" w:rsidR="00BA4009" w:rsidRDefault="00BA4009" w:rsidP="001C40C2">
      <w:pPr>
        <w:spacing w:line="360" w:lineRule="auto"/>
      </w:pPr>
    </w:p>
    <w:p w14:paraId="1BCE669C" w14:textId="03FB7236" w:rsidR="005B5052" w:rsidRDefault="005B5052" w:rsidP="001C40C2">
      <w:pPr>
        <w:spacing w:line="360" w:lineRule="auto"/>
        <w:jc w:val="both"/>
      </w:pPr>
      <w:r>
        <w:t xml:space="preserve">We thank the reviewer for their comment. We have now rewritten this paragraph to make it clear that </w:t>
      </w:r>
      <w:r w:rsidRPr="003A7262">
        <w:rPr>
          <w:i/>
          <w:iCs/>
        </w:rPr>
        <w:t>Listeria</w:t>
      </w:r>
      <w:r>
        <w:t xml:space="preserve"> spp. and VTEC are commonly found </w:t>
      </w:r>
      <w:r w:rsidR="00EA141A">
        <w:t>in the human intestinal flora as commensal organisms</w:t>
      </w:r>
      <w:r w:rsidR="003A7262">
        <w:t xml:space="preserve">. This is in comparison to the </w:t>
      </w:r>
      <w:r>
        <w:t xml:space="preserve">transient </w:t>
      </w:r>
      <w:r w:rsidR="00EF4B13">
        <w:t>infection in humans</w:t>
      </w:r>
      <w:r>
        <w:t xml:space="preserve"> and clear food animal origin of </w:t>
      </w:r>
      <w:r w:rsidRPr="003A7262">
        <w:rPr>
          <w:i/>
          <w:iCs/>
        </w:rPr>
        <w:t>Salmonella</w:t>
      </w:r>
      <w:r>
        <w:t xml:space="preserve"> spp.</w:t>
      </w:r>
      <w:r w:rsidR="00EF4B13">
        <w:t xml:space="preserve"> </w:t>
      </w:r>
      <w:r w:rsidR="00C37CE0">
        <w:t>Therefore,</w:t>
      </w:r>
      <w:r>
        <w:t xml:space="preserve"> the </w:t>
      </w:r>
      <w:r w:rsidR="003A7262">
        <w:t>impact of foodborne transmission</w:t>
      </w:r>
      <w:r w:rsidR="00EA141A">
        <w:t xml:space="preserve"> and subsequent interventions to target this pathway</w:t>
      </w:r>
      <w:r w:rsidR="003A7262">
        <w:t xml:space="preserve"> on the infection probability of </w:t>
      </w:r>
      <w:r w:rsidR="003A7262" w:rsidRPr="003A7262">
        <w:rPr>
          <w:i/>
          <w:iCs/>
        </w:rPr>
        <w:t>Listeria</w:t>
      </w:r>
      <w:r w:rsidR="003A7262">
        <w:t xml:space="preserve"> spp. and VTEC will likely be different than</w:t>
      </w:r>
      <w:r w:rsidR="00EA141A">
        <w:t xml:space="preserve"> for</w:t>
      </w:r>
      <w:r w:rsidR="003A7262">
        <w:t xml:space="preserve"> </w:t>
      </w:r>
      <w:r w:rsidR="003A7262" w:rsidRPr="003A7262">
        <w:rPr>
          <w:i/>
          <w:iCs/>
        </w:rPr>
        <w:t>Salmonella</w:t>
      </w:r>
      <w:r w:rsidR="003A7262">
        <w:t xml:space="preserve"> spp. (</w:t>
      </w:r>
      <w:r w:rsidR="00CD1D20" w:rsidRPr="00CD1D20">
        <w:rPr>
          <w:highlight w:val="cyan"/>
        </w:rPr>
        <w:t>l</w:t>
      </w:r>
      <w:r w:rsidR="003A7262" w:rsidRPr="00CD1D20">
        <w:rPr>
          <w:highlight w:val="cyan"/>
        </w:rPr>
        <w:t xml:space="preserve">ines </w:t>
      </w:r>
      <w:r w:rsidR="005778F2" w:rsidRPr="005778F2">
        <w:rPr>
          <w:highlight w:val="cyan"/>
        </w:rPr>
        <w:t>392-399</w:t>
      </w:r>
      <w:r w:rsidR="003A7262">
        <w:t>).</w:t>
      </w:r>
    </w:p>
    <w:p w14:paraId="174A29CC" w14:textId="77777777" w:rsidR="00EA141A" w:rsidRDefault="00EA141A" w:rsidP="001C40C2">
      <w:pPr>
        <w:spacing w:line="360" w:lineRule="auto"/>
      </w:pPr>
    </w:p>
    <w:p w14:paraId="081C9CB5" w14:textId="74B61654" w:rsidR="00EA141A" w:rsidRPr="00EA141A" w:rsidRDefault="00EA141A" w:rsidP="005778F2">
      <w:pPr>
        <w:pStyle w:val="NoSpacing"/>
        <w:spacing w:line="360" w:lineRule="auto"/>
        <w:jc w:val="center"/>
        <w:rPr>
          <w:rFonts w:cstheme="minorHAnsi"/>
          <w:bCs/>
          <w:sz w:val="24"/>
          <w:szCs w:val="24"/>
        </w:rPr>
      </w:pPr>
      <w:r w:rsidRPr="00CD1D20">
        <w:rPr>
          <w:rFonts w:cstheme="minorHAnsi"/>
          <w:sz w:val="24"/>
          <w:szCs w:val="24"/>
        </w:rPr>
        <w:t>“</w:t>
      </w:r>
      <w:r w:rsidRPr="00CD1D20">
        <w:rPr>
          <w:rFonts w:cstheme="minorHAnsi"/>
          <w:i/>
          <w:iCs/>
          <w:sz w:val="24"/>
          <w:szCs w:val="24"/>
          <w:highlight w:val="cyan"/>
        </w:rPr>
        <w:t xml:space="preserve">It is also likely that there will be a less clear link between </w:t>
      </w:r>
      <w:r w:rsidRPr="00CD1D20">
        <w:rPr>
          <w:rFonts w:cstheme="minorHAnsi"/>
          <w:bCs/>
          <w:i/>
          <w:iCs/>
          <w:sz w:val="24"/>
          <w:szCs w:val="24"/>
          <w:highlight w:val="cyan"/>
        </w:rPr>
        <w:t xml:space="preserve">improvements in farm-to-fork hygiene and the incidence of opportunistic infections of commensal pathogens, such as Listeria spp. and E.coli (i.e. VTEC). This contrasts with Salmonella spp. modelled in this study, which has clear food animal origins and predominantly results in self-limited colonisation and infection in humans </w:t>
      </w:r>
      <w:r w:rsidRPr="00CD1D20">
        <w:rPr>
          <w:rFonts w:cstheme="minorHAnsi"/>
          <w:bCs/>
          <w:i/>
          <w:iCs/>
          <w:sz w:val="24"/>
          <w:szCs w:val="24"/>
          <w:highlight w:val="cyan"/>
        </w:rPr>
        <w:fldChar w:fldCharType="begin"/>
      </w:r>
      <w:r w:rsidR="00CD1D20">
        <w:rPr>
          <w:rFonts w:cstheme="minorHAnsi"/>
          <w:bCs/>
          <w:i/>
          <w:iCs/>
          <w:sz w:val="24"/>
          <w:szCs w:val="24"/>
          <w:highlight w:val="cyan"/>
        </w:rPr>
        <w:instrText xml:space="preserve"> ADDIN EN.CITE &lt;EndNote&gt;&lt;Cite&gt;&lt;Author&gt;Centers for Disease Control and Prevention&lt;/Author&gt;&lt;Year&gt;2014&lt;/Year&gt;&lt;RecNum&gt;434&lt;/RecNum&gt;&lt;DisplayText&gt;[2]&lt;/DisplayText&gt;&lt;record&gt;&lt;rec-number&gt;434&lt;/rec-number&gt;&lt;foreign-keys&gt;&lt;key app="EN" db-id="220f9fvwmzexdkefseqvwpscaepfaza5z05x" timestamp="1679867987"&gt;434&lt;/key&gt;&lt;/foreign-keys&gt;&lt;ref-type name="Report"&gt;27&lt;/ref-type&gt;&lt;contributors&gt;&lt;authors&gt;&lt;author&gt;Centers for Disease Control and Prevention,&lt;/author&gt;&lt;/authors&gt;&lt;tertiary-authors&gt;&lt;author&gt;Centers for Disease Control and Prevention&lt;/author&gt;&lt;/tertiary-authors&gt;&lt;/contributors&gt;&lt;titles&gt;&lt;title&gt;Salmonella in the Caribbean - 2013: Infection with Salmonella&lt;/title&gt;&lt;/titles&gt;&lt;dates&gt;&lt;year&gt;2014&lt;/year&gt;&lt;/dates&gt;&lt;pub-location&gt;Atlanta&lt;/pub-location&gt;&lt;publisher&gt;Centers for Disease Control and Prevention&lt;/publisher&gt;&lt;urls&gt;&lt;related-urls&gt;&lt;url&gt;https://www.cdc.gov/training/SIC_CaseStudy/Infection_Salmonella_ptversion.pdf&lt;/url&gt;&lt;/related-urls&gt;&lt;/urls&gt;&lt;/record&gt;&lt;/Cite&gt;&lt;/EndNote&gt;</w:instrText>
      </w:r>
      <w:r w:rsidRPr="00CD1D20">
        <w:rPr>
          <w:rFonts w:cstheme="minorHAnsi"/>
          <w:bCs/>
          <w:i/>
          <w:iCs/>
          <w:sz w:val="24"/>
          <w:szCs w:val="24"/>
          <w:highlight w:val="cyan"/>
        </w:rPr>
        <w:fldChar w:fldCharType="separate"/>
      </w:r>
      <w:r w:rsidR="00CD1D20">
        <w:rPr>
          <w:rFonts w:cstheme="minorHAnsi"/>
          <w:bCs/>
          <w:i/>
          <w:iCs/>
          <w:noProof/>
          <w:sz w:val="24"/>
          <w:szCs w:val="24"/>
          <w:highlight w:val="cyan"/>
        </w:rPr>
        <w:t>[2]</w:t>
      </w:r>
      <w:r w:rsidRPr="00CD1D20">
        <w:rPr>
          <w:rFonts w:cstheme="minorHAnsi"/>
          <w:bCs/>
          <w:i/>
          <w:iCs/>
          <w:sz w:val="24"/>
          <w:szCs w:val="24"/>
          <w:highlight w:val="cyan"/>
        </w:rPr>
        <w:fldChar w:fldCharType="end"/>
      </w:r>
      <w:r w:rsidRPr="00CD1D20">
        <w:rPr>
          <w:rFonts w:cstheme="minorHAnsi"/>
          <w:bCs/>
          <w:i/>
          <w:iCs/>
          <w:sz w:val="24"/>
          <w:szCs w:val="24"/>
          <w:highlight w:val="cyan"/>
        </w:rPr>
        <w:t xml:space="preserve">. Factors such as the extent of host-immunosuppression, microbial community interactions and nosocomial transmission may play a larger role than the animal-to-human transmission pathway in determining the extent of Listeria spp. and E.coli infection in  humans </w:t>
      </w:r>
      <w:r w:rsidRPr="00CD1D20">
        <w:rPr>
          <w:rFonts w:cstheme="minorHAnsi"/>
          <w:bCs/>
          <w:i/>
          <w:iCs/>
          <w:sz w:val="24"/>
          <w:szCs w:val="24"/>
          <w:highlight w:val="cyan"/>
        </w:rPr>
        <w:fldChar w:fldCharType="begin"/>
      </w:r>
      <w:r w:rsidR="00CD1D20">
        <w:rPr>
          <w:rFonts w:cstheme="minorHAnsi"/>
          <w:bCs/>
          <w:i/>
          <w:iCs/>
          <w:sz w:val="24"/>
          <w:szCs w:val="24"/>
          <w:highlight w:val="cyan"/>
        </w:rPr>
        <w:instrText xml:space="preserve"> ADDIN EN.CITE &lt;EndNote&gt;&lt;Cite&gt;&lt;Author&gt;Poirel&lt;/Author&gt;&lt;Year&gt;2018&lt;/Year&gt;&lt;RecNum&gt;385&lt;/RecNum&gt;&lt;DisplayText&gt;[3, 4]&lt;/DisplayText&gt;&lt;record&gt;&lt;rec-number&gt;385&lt;/rec-number&gt;&lt;foreign-keys&gt;&lt;key app="EN" db-id="220f9fvwmzexdkefseqvwpscaepfaza5z05x" timestamp="1679849881"&gt;385&lt;/key&gt;&lt;/foreign-keys&gt;&lt;ref-type name="Journal Article"&gt;17&lt;/ref-type&gt;&lt;contributors&gt;&lt;authors&gt;&lt;author&gt;Poirel, Laurent&lt;/author&gt;&lt;author&gt;Madec, Jean-Yves&lt;/author&gt;&lt;author&gt;Lupo, Agnese&lt;/author&gt;&lt;author&gt;Schink, Anne-Kathrin&lt;/author&gt;&lt;author&gt;Kieffer, Nicolas&lt;/author&gt;&lt;author&gt;Nordmann, Patrice&lt;/author&gt;&lt;author&gt;Schwarz, Stefan&lt;/author&gt;&lt;/authors&gt;&lt;/contributors&gt;&lt;titles&gt;&lt;title&gt;Antimicrobial resistance in Escherichia coli&lt;/title&gt;&lt;secondary-title&gt;Microbiology Spectrum&lt;/secondary-title&gt;&lt;/titles&gt;&lt;periodical&gt;&lt;full-title&gt;Microbiology Spectrum&lt;/full-title&gt;&lt;/periodical&gt;&lt;pages&gt;6.4. 14&lt;/pages&gt;&lt;volume&gt;6&lt;/volume&gt;&lt;number&gt;4&lt;/number&gt;&lt;dates&gt;&lt;year&gt;2018&lt;/year&gt;&lt;/dates&gt;&lt;isbn&gt;2165-0497&lt;/isbn&gt;&lt;urls&gt;&lt;/urls&gt;&lt;/record&gt;&lt;/Cite&gt;&lt;Cite&gt;&lt;Author&gt;Becattini&lt;/Author&gt;&lt;Year&gt;2017&lt;/Year&gt;&lt;RecNum&gt;386&lt;/RecNum&gt;&lt;record&gt;&lt;rec-number&gt;386&lt;/rec-number&gt;&lt;foreign-keys&gt;&lt;key app="EN" db-id="220f9fvwmzexdkefseqvwpscaepfaza5z05x" timestamp="1679849972"&gt;386&lt;/key&gt;&lt;/foreign-keys&gt;&lt;ref-type name="Journal Article"&gt;17&lt;/ref-type&gt;&lt;contributors&gt;&lt;authors&gt;&lt;author&gt;Becattini, Simone&lt;/author&gt;&lt;author&gt;Littmann, Eric R&lt;/author&gt;&lt;author&gt;Carter, Rebecca A&lt;/author&gt;&lt;author&gt;Kim, Sohn G&lt;/author&gt;&lt;author&gt;Morjaria, Sejal M&lt;/author&gt;&lt;author&gt;Ling, Lilan&lt;/author&gt;&lt;author&gt;Gyaltshen, Yangtsho&lt;/author&gt;&lt;author&gt;Fontana, Emily&lt;/author&gt;&lt;author&gt;Taur, Ying&lt;/author&gt;&lt;author&gt;Leiner, Ingrid M&lt;/author&gt;&lt;/authors&gt;&lt;/contributors&gt;&lt;titles&gt;&lt;title&gt;Commensal microbes provide first line defense against Listeria monocytogenes infection&lt;/title&gt;&lt;secondary-title&gt;Journal of Experimental Medicine&lt;/secondary-title&gt;&lt;/titles&gt;&lt;periodical&gt;&lt;full-title&gt;Journal of Experimental Medicine&lt;/full-title&gt;&lt;/periodical&gt;&lt;pages&gt;1973-1989&lt;/pages&gt;&lt;volume&gt;214&lt;/volume&gt;&lt;number&gt;7&lt;/number&gt;&lt;dates&gt;&lt;year&gt;2017&lt;/year&gt;&lt;/dates&gt;&lt;isbn&gt;0022-1007&lt;/isbn&gt;&lt;urls&gt;&lt;/urls&gt;&lt;/record&gt;&lt;/Cite&gt;&lt;/EndNote&gt;</w:instrText>
      </w:r>
      <w:r w:rsidRPr="00CD1D20">
        <w:rPr>
          <w:rFonts w:cstheme="minorHAnsi"/>
          <w:bCs/>
          <w:i/>
          <w:iCs/>
          <w:sz w:val="24"/>
          <w:szCs w:val="24"/>
          <w:highlight w:val="cyan"/>
        </w:rPr>
        <w:fldChar w:fldCharType="separate"/>
      </w:r>
      <w:r w:rsidR="00CD1D20">
        <w:rPr>
          <w:rFonts w:cstheme="minorHAnsi"/>
          <w:bCs/>
          <w:i/>
          <w:iCs/>
          <w:noProof/>
          <w:sz w:val="24"/>
          <w:szCs w:val="24"/>
          <w:highlight w:val="cyan"/>
        </w:rPr>
        <w:t>[3, 4]</w:t>
      </w:r>
      <w:r w:rsidRPr="00CD1D20">
        <w:rPr>
          <w:rFonts w:cstheme="minorHAnsi"/>
          <w:bCs/>
          <w:i/>
          <w:iCs/>
          <w:sz w:val="24"/>
          <w:szCs w:val="24"/>
          <w:highlight w:val="cyan"/>
        </w:rPr>
        <w:fldChar w:fldCharType="end"/>
      </w:r>
      <w:r w:rsidRPr="00CD1D20">
        <w:rPr>
          <w:rFonts w:cstheme="minorHAnsi"/>
          <w:bCs/>
          <w:i/>
          <w:iCs/>
          <w:sz w:val="24"/>
          <w:szCs w:val="24"/>
          <w:highlight w:val="cyan"/>
        </w:rPr>
        <w:t>.</w:t>
      </w:r>
      <w:r w:rsidRPr="00CD1D20">
        <w:rPr>
          <w:rFonts w:cstheme="minorHAnsi"/>
          <w:bCs/>
          <w:sz w:val="24"/>
          <w:szCs w:val="24"/>
        </w:rPr>
        <w:t>”</w:t>
      </w:r>
    </w:p>
    <w:p w14:paraId="4D4B3693" w14:textId="57FF072A" w:rsidR="005129C3" w:rsidRDefault="00BA4009" w:rsidP="001C40C2">
      <w:pPr>
        <w:spacing w:line="360" w:lineRule="auto"/>
        <w:jc w:val="center"/>
      </w:pPr>
      <w:r w:rsidRPr="00BA4009">
        <w:br/>
      </w:r>
      <w:r w:rsidRPr="001C40C2">
        <w:rPr>
          <w:rFonts w:cstheme="minorHAnsi"/>
          <w:b/>
          <w:bCs/>
          <w:color w:val="FF0000"/>
        </w:rPr>
        <w:t>Reviewer Point 1.3</w:t>
      </w:r>
      <w:r w:rsidR="00CD1D20" w:rsidRPr="001C40C2">
        <w:rPr>
          <w:rFonts w:cstheme="minorHAnsi"/>
          <w:b/>
          <w:bCs/>
          <w:color w:val="FF0000"/>
        </w:rPr>
        <w:t>:</w:t>
      </w:r>
      <w:r w:rsidRPr="001C40C2">
        <w:rPr>
          <w:rFonts w:cstheme="minorHAnsi"/>
          <w:color w:val="FF0000"/>
        </w:rPr>
        <w:t xml:space="preserve"> </w:t>
      </w:r>
      <w:r w:rsidRPr="001C40C2">
        <w:rPr>
          <w:color w:val="FF0000"/>
        </w:rPr>
        <w:t>Could the authors add a paragraph listing limitations of the study?</w:t>
      </w:r>
    </w:p>
    <w:p w14:paraId="5B2D721E" w14:textId="77777777" w:rsidR="00BA4009" w:rsidRDefault="00BA4009" w:rsidP="001C40C2">
      <w:pPr>
        <w:spacing w:line="360" w:lineRule="auto"/>
      </w:pPr>
    </w:p>
    <w:p w14:paraId="6094C07B" w14:textId="78553E03" w:rsidR="00F5257D" w:rsidRDefault="00F5257D" w:rsidP="001C40C2">
      <w:pPr>
        <w:spacing w:line="360" w:lineRule="auto"/>
        <w:jc w:val="both"/>
      </w:pPr>
      <w:r>
        <w:t xml:space="preserve">We thank the reviewer for their </w:t>
      </w:r>
      <w:r w:rsidR="005B5052">
        <w:t>comment,</w:t>
      </w:r>
      <w:r>
        <w:t xml:space="preserve"> and we have now added an additional paragraph detailing further limitations of the mathematical model</w:t>
      </w:r>
      <w:r w:rsidR="00EA141A">
        <w:t xml:space="preserve"> (</w:t>
      </w:r>
      <w:r w:rsidR="00EA141A" w:rsidRPr="00CD1D20">
        <w:rPr>
          <w:highlight w:val="cyan"/>
        </w:rPr>
        <w:t xml:space="preserve">lines </w:t>
      </w:r>
      <w:r w:rsidR="005778F2">
        <w:rPr>
          <w:highlight w:val="cyan"/>
        </w:rPr>
        <w:t>415-42</w:t>
      </w:r>
      <w:r w:rsidR="009F649F" w:rsidRPr="009F649F">
        <w:rPr>
          <w:highlight w:val="cyan"/>
        </w:rPr>
        <w:t>8</w:t>
      </w:r>
      <w:r w:rsidR="00EA141A">
        <w:t>)</w:t>
      </w:r>
      <w:r>
        <w:t xml:space="preserve">. We also note that previous paragraphs </w:t>
      </w:r>
      <w:r w:rsidR="00CD1D20">
        <w:t xml:space="preserve">in the </w:t>
      </w:r>
      <w:r w:rsidR="00CD1D20" w:rsidRPr="001C40C2">
        <w:rPr>
          <w:i/>
          <w:iCs/>
        </w:rPr>
        <w:t>Discussion</w:t>
      </w:r>
      <w:r w:rsidR="00CD1D20">
        <w:t xml:space="preserve"> highlight</w:t>
      </w:r>
      <w:r>
        <w:t xml:space="preserve"> </w:t>
      </w:r>
      <w:r w:rsidR="005B5052">
        <w:t xml:space="preserve">several limitations </w:t>
      </w:r>
      <w:r>
        <w:t>(data for model fitting</w:t>
      </w:r>
      <w:r w:rsidR="001C40C2">
        <w:t>, applicability to other pathogens,</w:t>
      </w:r>
      <w:r w:rsidR="005B5052">
        <w:t xml:space="preserve"> etc.</w:t>
      </w:r>
      <w:r>
        <w:t>)</w:t>
      </w:r>
      <w:r w:rsidR="00EF4B13">
        <w:t xml:space="preserve">. However, in these paragraphs we also detail how our results are robust to these limitations. </w:t>
      </w:r>
    </w:p>
    <w:p w14:paraId="30BD27CE" w14:textId="77777777" w:rsidR="005B5052" w:rsidRDefault="005B5052" w:rsidP="001C40C2">
      <w:pPr>
        <w:spacing w:line="360" w:lineRule="auto"/>
      </w:pPr>
    </w:p>
    <w:p w14:paraId="721760E7" w14:textId="31029F1D" w:rsidR="005B5052" w:rsidRPr="009F649F" w:rsidRDefault="005B5052" w:rsidP="009F649F">
      <w:pPr>
        <w:pStyle w:val="NoSpacing"/>
        <w:spacing w:line="480" w:lineRule="auto"/>
        <w:jc w:val="both"/>
        <w:rPr>
          <w:sz w:val="24"/>
          <w:szCs w:val="24"/>
        </w:rPr>
      </w:pPr>
      <w:r>
        <w:t>“</w:t>
      </w:r>
      <w:r w:rsidR="005502E2" w:rsidRPr="005502E2">
        <w:rPr>
          <w:rFonts w:cstheme="minorHAnsi"/>
          <w:bCs/>
          <w:i/>
          <w:iCs/>
          <w:sz w:val="24"/>
          <w:szCs w:val="24"/>
          <w:highlight w:val="cyan"/>
        </w:rPr>
        <w:t>The compartmental model structure chosen in this study was simplified for model tractability and certain phenomena were implicitly assumed or modelled. For example, t</w:t>
      </w:r>
      <w:r w:rsidR="005502E2" w:rsidRPr="005502E2">
        <w:rPr>
          <w:i/>
          <w:iCs/>
          <w:sz w:val="24"/>
          <w:szCs w:val="24"/>
          <w:highlight w:val="cyan"/>
        </w:rPr>
        <w:t xml:space="preserve">ransmission of Salmonella spp. from animals-to-humans was simplified using a single parameter in this study. Future models could use non-linear microbial load dose-response models to more accurately </w:t>
      </w:r>
      <w:r w:rsidR="005502E2" w:rsidRPr="005502E2">
        <w:rPr>
          <w:i/>
          <w:iCs/>
          <w:sz w:val="24"/>
          <w:szCs w:val="24"/>
          <w:highlight w:val="cyan"/>
        </w:rPr>
        <w:lastRenderedPageBreak/>
        <w:t xml:space="preserve">quantify infection risk upon human exposure to Salmonella spp. on food products </w:t>
      </w:r>
      <w:r w:rsidR="005502E2" w:rsidRPr="005502E2">
        <w:rPr>
          <w:i/>
          <w:iCs/>
          <w:sz w:val="24"/>
          <w:szCs w:val="24"/>
          <w:highlight w:val="cyan"/>
        </w:rPr>
        <w:fldChar w:fldCharType="begin"/>
      </w:r>
      <w:r w:rsidR="00894BCB">
        <w:rPr>
          <w:i/>
          <w:iCs/>
          <w:sz w:val="24"/>
          <w:szCs w:val="24"/>
          <w:highlight w:val="cyan"/>
        </w:rPr>
        <w:instrText xml:space="preserve"> ADDIN EN.CITE &lt;EndNote&gt;&lt;Cite&gt;&lt;Author&gt;Teunis&lt;/Author&gt;&lt;Year&gt;2000&lt;/Year&gt;&lt;RecNum&gt;464&lt;/RecNum&gt;&lt;DisplayText&gt;[1]&lt;/DisplayText&gt;&lt;record&gt;&lt;rec-number&gt;464&lt;/rec-number&gt;&lt;foreign-keys&gt;&lt;key app="EN" db-id="220f9fvwmzexdkefseqvwpscaepfaza5z05x" timestamp="1696497470"&gt;464&lt;/key&gt;&lt;/foreign-keys&gt;&lt;ref-type name="Journal Article"&gt;17&lt;/ref-type&gt;&lt;contributors&gt;&lt;authors&gt;&lt;author&gt;Teunis, P. F. M.&lt;/author&gt;&lt;author&gt;Havelaar, A. H.&lt;/author&gt;&lt;/authors&gt;&lt;/contributors&gt;&lt;titles&gt;&lt;title&gt;The Beta Poisson Dose-Response Model Is Not a Single-Hit Model&lt;/title&gt;&lt;secondary-title&gt;Risk Analysis&lt;/secondary-title&gt;&lt;/titles&gt;&lt;periodical&gt;&lt;full-title&gt;Risk Analysis&lt;/full-title&gt;&lt;/periodical&gt;&lt;pages&gt;513-520&lt;/pages&gt;&lt;volume&gt;20&lt;/volume&gt;&lt;number&gt;4&lt;/number&gt;&lt;dates&gt;&lt;year&gt;2000&lt;/year&gt;&lt;/dates&gt;&lt;isbn&gt;0272-4332&lt;/isbn&gt;&lt;urls&gt;&lt;related-urls&gt;&lt;url&gt;https://onlinelibrary.wiley.com/doi/abs/10.1111/0272-4332.204048&lt;/url&gt;&lt;/related-urls&gt;&lt;/urls&gt;&lt;electronic-resource-num&gt;https://doi.org/10.1111/0272-4332.204048&lt;/electronic-resource-num&gt;&lt;/record&gt;&lt;/Cite&gt;&lt;/EndNote&gt;</w:instrText>
      </w:r>
      <w:r w:rsidR="005502E2" w:rsidRPr="005502E2">
        <w:rPr>
          <w:i/>
          <w:iCs/>
          <w:sz w:val="24"/>
          <w:szCs w:val="24"/>
          <w:highlight w:val="cyan"/>
        </w:rPr>
        <w:fldChar w:fldCharType="separate"/>
      </w:r>
      <w:r w:rsidR="00894BCB">
        <w:rPr>
          <w:i/>
          <w:iCs/>
          <w:noProof/>
          <w:sz w:val="24"/>
          <w:szCs w:val="24"/>
          <w:highlight w:val="cyan"/>
        </w:rPr>
        <w:t>[1]</w:t>
      </w:r>
      <w:r w:rsidR="005502E2" w:rsidRPr="005502E2">
        <w:rPr>
          <w:i/>
          <w:iCs/>
          <w:sz w:val="24"/>
          <w:szCs w:val="24"/>
          <w:highlight w:val="cyan"/>
        </w:rPr>
        <w:fldChar w:fldCharType="end"/>
      </w:r>
      <w:r w:rsidR="005502E2" w:rsidRPr="005502E2">
        <w:rPr>
          <w:i/>
          <w:iCs/>
          <w:sz w:val="24"/>
          <w:szCs w:val="24"/>
          <w:highlight w:val="cyan"/>
        </w:rPr>
        <w:t xml:space="preserve">. Future models could also explicitly model mechanisms driving strain coexistence, such as within-host competition, with this mechanism known to impact AMR dynamics following the implementation of interventions </w:t>
      </w:r>
      <w:r w:rsidR="005502E2" w:rsidRPr="005502E2">
        <w:rPr>
          <w:i/>
          <w:iCs/>
          <w:sz w:val="24"/>
          <w:szCs w:val="24"/>
          <w:highlight w:val="cyan"/>
        </w:rPr>
        <w:fldChar w:fldCharType="begin"/>
      </w:r>
      <w:r w:rsidR="00894BCB">
        <w:rPr>
          <w:i/>
          <w:iCs/>
          <w:sz w:val="24"/>
          <w:szCs w:val="24"/>
          <w:highlight w:val="cyan"/>
        </w:rPr>
        <w:instrText xml:space="preserve"> ADDIN EN.CITE &lt;EndNote&gt;&lt;Cite&gt;&lt;Author&gt;Davies&lt;/Author&gt;&lt;Year&gt;2021&lt;/Year&gt;&lt;RecNum&gt;347&lt;/RecNum&gt;&lt;DisplayText&gt;[5]&lt;/DisplayText&gt;&lt;record&gt;&lt;rec-number&gt;347&lt;/rec-number&gt;&lt;foreign-keys&gt;&lt;key app="EN" db-id="220f9fvwmzexdkefseqvwpscaepfaza5z05x" timestamp="1679848254"&gt;347&lt;/key&gt;&lt;/foreign-keys&gt;&lt;ref-type name="Journal Article"&gt;17&lt;/ref-type&gt;&lt;contributors&gt;&lt;authors&gt;&lt;author&gt;Davies, Nicholas G&lt;/author&gt;&lt;author&gt;Flasche, Stefan&lt;/author&gt;&lt;author&gt;Jit, Mark&lt;/author&gt;&lt;author&gt;Atkins, Katherine E&lt;/author&gt;&lt;/authors&gt;&lt;/contributors&gt;&lt;titles&gt;&lt;title&gt;Modeling the effect of vaccination on selection for antibiotic resistance in Streptococcus pneumoniae&lt;/title&gt;&lt;secondary-title&gt;Science Translational Medicine&lt;/secondary-title&gt;&lt;/titles&gt;&lt;periodical&gt;&lt;full-title&gt;Science Translational Medicine&lt;/full-title&gt;&lt;/periodical&gt;&lt;pages&gt;eaaz8690&lt;/pages&gt;&lt;volume&gt;13&lt;/volume&gt;&lt;number&gt;606&lt;/number&gt;&lt;dates&gt;&lt;year&gt;2021&lt;/year&gt;&lt;/dates&gt;&lt;isbn&gt;1946-6242&lt;/isbn&gt;&lt;urls&gt;&lt;/urls&gt;&lt;/record&gt;&lt;/Cite&gt;&lt;/EndNote&gt;</w:instrText>
      </w:r>
      <w:r w:rsidR="005502E2" w:rsidRPr="005502E2">
        <w:rPr>
          <w:i/>
          <w:iCs/>
          <w:sz w:val="24"/>
          <w:szCs w:val="24"/>
          <w:highlight w:val="cyan"/>
        </w:rPr>
        <w:fldChar w:fldCharType="separate"/>
      </w:r>
      <w:r w:rsidR="00894BCB">
        <w:rPr>
          <w:i/>
          <w:iCs/>
          <w:noProof/>
          <w:sz w:val="24"/>
          <w:szCs w:val="24"/>
          <w:highlight w:val="cyan"/>
        </w:rPr>
        <w:t>[5]</w:t>
      </w:r>
      <w:r w:rsidR="005502E2" w:rsidRPr="005502E2">
        <w:rPr>
          <w:i/>
          <w:iCs/>
          <w:sz w:val="24"/>
          <w:szCs w:val="24"/>
          <w:highlight w:val="cyan"/>
        </w:rPr>
        <w:fldChar w:fldCharType="end"/>
      </w:r>
      <w:r w:rsidR="005502E2" w:rsidRPr="005502E2">
        <w:rPr>
          <w:i/>
          <w:iCs/>
          <w:sz w:val="24"/>
          <w:szCs w:val="24"/>
          <w:highlight w:val="cyan"/>
        </w:rPr>
        <w:t xml:space="preserve">. The impact of country level adherence to antibiotic curtailment interventions on human and livestock AMR could also be of interest, to explore the impact of population structure on intervention efficacy. Finally, the relationship between livestock antibiotic usage and resistance was assumed to be linear in this study, with this also being assumed in related literature </w:t>
      </w:r>
      <w:r w:rsidR="005502E2" w:rsidRPr="005502E2">
        <w:rPr>
          <w:i/>
          <w:iCs/>
          <w:sz w:val="24"/>
          <w:szCs w:val="24"/>
          <w:highlight w:val="cyan"/>
        </w:rPr>
        <w:fldChar w:fldCharType="begin"/>
      </w:r>
      <w:r w:rsidR="00894BCB">
        <w:rPr>
          <w:i/>
          <w:iCs/>
          <w:sz w:val="24"/>
          <w:szCs w:val="24"/>
          <w:highlight w:val="cyan"/>
        </w:rPr>
        <w:instrText xml:space="preserve"> ADDIN EN.CITE &lt;EndNote&gt;&lt;Cite&gt;&lt;Author&gt;Davies&lt;/Author&gt;&lt;Year&gt;2021&lt;/Year&gt;&lt;RecNum&gt;49&lt;/RecNum&gt;&lt;DisplayText&gt;[5, 6]&lt;/DisplayText&gt;&lt;record&gt;&lt;rec-number&gt;49&lt;/rec-number&gt;&lt;foreign-keys&gt;&lt;key app="EN" db-id="rsw9ear0addpsvevv90pavece2aw0afa9edz" timestamp="1696520883"&gt;49&lt;/key&gt;&lt;/foreign-keys&gt;&lt;ref-type name="Journal Article"&gt;17&lt;/ref-type&gt;&lt;contributors&gt;&lt;authors&gt;&lt;author&gt;Davies, Nicholas G&lt;/author&gt;&lt;author&gt;Flasche, Stefan&lt;/author&gt;&lt;author&gt;Jit, Mark&lt;/author&gt;&lt;author&gt;Atkins, Katherine E&lt;/author&gt;&lt;/authors&gt;&lt;/contributors&gt;&lt;titles&gt;&lt;title&gt;Modeling the effect of vaccination on selection for antibiotic resistance in Streptococcus pneumoniae&lt;/title&gt;&lt;secondary-title&gt;Science Translational Medicine&lt;/secondary-title&gt;&lt;/titles&gt;&lt;pages&gt;eaaz8690&lt;/pages&gt;&lt;volume&gt;13&lt;/volume&gt;&lt;number&gt;606&lt;/number&gt;&lt;dates&gt;&lt;year&gt;2021&lt;/year&gt;&lt;/dates&gt;&lt;isbn&gt;1946-6242&lt;/isbn&gt;&lt;urls&gt;&lt;/urls&gt;&lt;/record&gt;&lt;/Cite&gt;&lt;Cite&gt;&lt;Author&gt;Rahman&lt;/Author&gt;&lt;Year&gt;2023&lt;/Year&gt;&lt;RecNum&gt;465&lt;/RecNum&gt;&lt;record&gt;&lt;rec-number&gt;465&lt;/rec-number&gt;&lt;foreign-keys&gt;&lt;key app="EN" db-id="220f9fvwmzexdkefseqvwpscaepfaza5z05x" timestamp="1696518243"&gt;465&lt;/key&gt;&lt;/foreign-keys&gt;&lt;ref-type name="Journal Article"&gt;17&lt;/ref-type&gt;&lt;contributors&gt;&lt;authors&gt;&lt;author&gt;Rahman, Sakib&lt;/author&gt;&lt;author&gt;Hollis, Aidan&lt;/author&gt;&lt;/authors&gt;&lt;/contributors&gt;&lt;titles&gt;&lt;title&gt;The effect of antibiotic usage on resistance in humans and food-producing animals: a longitudinal, One Health analysis using European data&lt;/title&gt;&lt;secondary-title&gt;Frontiers in Public Health&lt;/secondary-title&gt;&lt;/titles&gt;&lt;periodical&gt;&lt;full-title&gt;Frontiers in Public Health&lt;/full-title&gt;&lt;/periodical&gt;&lt;pages&gt;1170426&lt;/pages&gt;&lt;volume&gt;11&lt;/volume&gt;&lt;dates&gt;&lt;year&gt;2023&lt;/year&gt;&lt;/dates&gt;&lt;isbn&gt;2296-2565&lt;/isbn&gt;&lt;urls&gt;&lt;/urls&gt;&lt;/record&gt;&lt;/Cite&gt;&lt;/EndNote&gt;</w:instrText>
      </w:r>
      <w:r w:rsidR="005502E2" w:rsidRPr="005502E2">
        <w:rPr>
          <w:i/>
          <w:iCs/>
          <w:sz w:val="24"/>
          <w:szCs w:val="24"/>
          <w:highlight w:val="cyan"/>
        </w:rPr>
        <w:fldChar w:fldCharType="separate"/>
      </w:r>
      <w:r w:rsidR="00894BCB">
        <w:rPr>
          <w:i/>
          <w:iCs/>
          <w:noProof/>
          <w:sz w:val="24"/>
          <w:szCs w:val="24"/>
          <w:highlight w:val="cyan"/>
        </w:rPr>
        <w:t>[5, 6]</w:t>
      </w:r>
      <w:r w:rsidR="005502E2" w:rsidRPr="005502E2">
        <w:rPr>
          <w:i/>
          <w:iCs/>
          <w:sz w:val="24"/>
          <w:szCs w:val="24"/>
          <w:highlight w:val="cyan"/>
        </w:rPr>
        <w:fldChar w:fldCharType="end"/>
      </w:r>
      <w:r w:rsidR="005502E2" w:rsidRPr="005502E2">
        <w:rPr>
          <w:i/>
          <w:iCs/>
          <w:sz w:val="24"/>
          <w:szCs w:val="24"/>
          <w:highlight w:val="cyan"/>
        </w:rPr>
        <w:t>. Exploring the functional form of this relationship may also provide useful insight into the range of potential scenarios following curtailment interventions at the one health interface.</w:t>
      </w:r>
      <w:r w:rsidR="005502E2">
        <w:rPr>
          <w:sz w:val="24"/>
          <w:szCs w:val="24"/>
        </w:rPr>
        <w:t>”</w:t>
      </w:r>
    </w:p>
    <w:p w14:paraId="0A27CAC6" w14:textId="77777777" w:rsidR="00EA141A" w:rsidRPr="00EA141A" w:rsidRDefault="00EA141A" w:rsidP="001C40C2">
      <w:pPr>
        <w:spacing w:line="360" w:lineRule="auto"/>
        <w:rPr>
          <w:b/>
          <w:bCs/>
          <w:u w:val="single"/>
        </w:rPr>
      </w:pPr>
    </w:p>
    <w:p w14:paraId="04994C32" w14:textId="188BB3B2" w:rsidR="00EA141A" w:rsidRPr="00E55867" w:rsidRDefault="00EA141A" w:rsidP="001C40C2">
      <w:pPr>
        <w:spacing w:line="360" w:lineRule="auto"/>
        <w:rPr>
          <w:b/>
          <w:bCs/>
          <w:u w:val="single"/>
        </w:rPr>
      </w:pPr>
      <w:r w:rsidRPr="00EA141A">
        <w:rPr>
          <w:b/>
          <w:bCs/>
          <w:u w:val="single"/>
        </w:rPr>
        <w:t>References</w:t>
      </w:r>
    </w:p>
    <w:p w14:paraId="53D7DA7E" w14:textId="77777777" w:rsidR="00EA141A" w:rsidRDefault="00EA141A" w:rsidP="001C40C2">
      <w:pPr>
        <w:spacing w:line="360" w:lineRule="auto"/>
      </w:pPr>
    </w:p>
    <w:p w14:paraId="36A57CCD" w14:textId="77777777" w:rsidR="00894BCB" w:rsidRPr="00894BCB" w:rsidRDefault="00EA141A" w:rsidP="00894BCB">
      <w:pPr>
        <w:pStyle w:val="EndNoteBibliography"/>
        <w:rPr>
          <w:noProof/>
        </w:rPr>
      </w:pPr>
      <w:r>
        <w:fldChar w:fldCharType="begin"/>
      </w:r>
      <w:r>
        <w:instrText xml:space="preserve"> ADDIN EN.REFLIST </w:instrText>
      </w:r>
      <w:r>
        <w:fldChar w:fldCharType="separate"/>
      </w:r>
      <w:r w:rsidR="00894BCB" w:rsidRPr="00894BCB">
        <w:rPr>
          <w:noProof/>
        </w:rPr>
        <w:t>1.</w:t>
      </w:r>
      <w:r w:rsidR="00894BCB" w:rsidRPr="00894BCB">
        <w:rPr>
          <w:noProof/>
        </w:rPr>
        <w:tab/>
        <w:t xml:space="preserve">PFM Teunis, Havelaar AH. The Beta Poisson Dose-Response Model Is Not a Single-Hit Model. </w:t>
      </w:r>
      <w:r w:rsidR="00894BCB" w:rsidRPr="00894BCB">
        <w:rPr>
          <w:i/>
          <w:noProof/>
        </w:rPr>
        <w:t>Risk Analysis</w:t>
      </w:r>
      <w:r w:rsidR="00894BCB" w:rsidRPr="00894BCB">
        <w:rPr>
          <w:noProof/>
        </w:rPr>
        <w:t>. (2000). 20(4):513-20.</w:t>
      </w:r>
    </w:p>
    <w:p w14:paraId="5F890A5C" w14:textId="630D5826" w:rsidR="00894BCB" w:rsidRPr="00894BCB" w:rsidRDefault="00894BCB" w:rsidP="00894BCB">
      <w:pPr>
        <w:pStyle w:val="EndNoteBibliography"/>
        <w:rPr>
          <w:noProof/>
        </w:rPr>
      </w:pPr>
      <w:r w:rsidRPr="00894BCB">
        <w:rPr>
          <w:noProof/>
        </w:rPr>
        <w:t>2.</w:t>
      </w:r>
      <w:r w:rsidRPr="00894BCB">
        <w:rPr>
          <w:noProof/>
        </w:rPr>
        <w:tab/>
        <w:t xml:space="preserve">Centers for Disease Control and Prevention. </w:t>
      </w:r>
      <w:r w:rsidRPr="00894BCB">
        <w:rPr>
          <w:i/>
          <w:noProof/>
        </w:rPr>
        <w:t>Salmonella in the Caribbean - 2013: Infection with Salmonella</w:t>
      </w:r>
      <w:r w:rsidRPr="00894BCB">
        <w:rPr>
          <w:noProof/>
        </w:rPr>
        <w:t xml:space="preserve">. Atlanta: Centers for Disease Control and Prevention. (2014). Available from: </w:t>
      </w:r>
      <w:hyperlink r:id="rId8" w:history="1">
        <w:r w:rsidRPr="00894BCB">
          <w:rPr>
            <w:rStyle w:val="Hyperlink"/>
            <w:noProof/>
          </w:rPr>
          <w:t>https://www.cdc.gov/training/SIC_CaseStudy/Infection_Salmonella_ptversion.pdf</w:t>
        </w:r>
      </w:hyperlink>
      <w:r w:rsidRPr="00894BCB">
        <w:rPr>
          <w:noProof/>
        </w:rPr>
        <w:t>.</w:t>
      </w:r>
    </w:p>
    <w:p w14:paraId="48D50BDF" w14:textId="77777777" w:rsidR="00894BCB" w:rsidRPr="00894BCB" w:rsidRDefault="00894BCB" w:rsidP="00894BCB">
      <w:pPr>
        <w:pStyle w:val="EndNoteBibliography"/>
        <w:rPr>
          <w:noProof/>
        </w:rPr>
      </w:pPr>
      <w:r w:rsidRPr="00894BCB">
        <w:rPr>
          <w:noProof/>
        </w:rPr>
        <w:t>3.</w:t>
      </w:r>
      <w:r w:rsidRPr="00894BCB">
        <w:rPr>
          <w:noProof/>
        </w:rPr>
        <w:tab/>
        <w:t xml:space="preserve">L Poirel, Madec J-Y, Lupo A, Schink A-K, Kieffer N, Nordmann P, et al. Antimicrobial resistance in Escherichia coli. </w:t>
      </w:r>
      <w:r w:rsidRPr="00894BCB">
        <w:rPr>
          <w:i/>
          <w:noProof/>
        </w:rPr>
        <w:t>Microbiology Spectrum</w:t>
      </w:r>
      <w:r w:rsidRPr="00894BCB">
        <w:rPr>
          <w:noProof/>
        </w:rPr>
        <w:t>. (2018). 6(4):6.4. 14.</w:t>
      </w:r>
    </w:p>
    <w:p w14:paraId="3324E7F2" w14:textId="77777777" w:rsidR="00894BCB" w:rsidRPr="00894BCB" w:rsidRDefault="00894BCB" w:rsidP="00894BCB">
      <w:pPr>
        <w:pStyle w:val="EndNoteBibliography"/>
        <w:rPr>
          <w:noProof/>
        </w:rPr>
      </w:pPr>
      <w:r w:rsidRPr="00894BCB">
        <w:rPr>
          <w:noProof/>
        </w:rPr>
        <w:t>4.</w:t>
      </w:r>
      <w:r w:rsidRPr="00894BCB">
        <w:rPr>
          <w:noProof/>
        </w:rPr>
        <w:tab/>
        <w:t xml:space="preserve">S Becattini, Littmann ER, Carter RA, Kim SG, Morjaria SM, Ling L, et al. Commensal microbes provide first line defense against Listeria monocytogenes infection. </w:t>
      </w:r>
      <w:r w:rsidRPr="00894BCB">
        <w:rPr>
          <w:i/>
          <w:noProof/>
        </w:rPr>
        <w:t>Journal of Experimental Medicine</w:t>
      </w:r>
      <w:r w:rsidRPr="00894BCB">
        <w:rPr>
          <w:noProof/>
        </w:rPr>
        <w:t>. (2017). 214(7):1973-89.</w:t>
      </w:r>
    </w:p>
    <w:p w14:paraId="04A5D35E" w14:textId="77777777" w:rsidR="00894BCB" w:rsidRPr="00894BCB" w:rsidRDefault="00894BCB" w:rsidP="00894BCB">
      <w:pPr>
        <w:pStyle w:val="EndNoteBibliography"/>
        <w:rPr>
          <w:noProof/>
        </w:rPr>
      </w:pPr>
      <w:r w:rsidRPr="00894BCB">
        <w:rPr>
          <w:noProof/>
        </w:rPr>
        <w:t>5.</w:t>
      </w:r>
      <w:r w:rsidRPr="00894BCB">
        <w:rPr>
          <w:noProof/>
        </w:rPr>
        <w:tab/>
        <w:t xml:space="preserve">NG Davies, Flasche S, Jit M, Atkins KE. Modeling the effect of vaccination on selection for antibiotic resistance in Streptococcus pneumoniae. </w:t>
      </w:r>
      <w:r w:rsidRPr="00894BCB">
        <w:rPr>
          <w:i/>
          <w:noProof/>
        </w:rPr>
        <w:t>Science Translational Medicine</w:t>
      </w:r>
      <w:r w:rsidRPr="00894BCB">
        <w:rPr>
          <w:noProof/>
        </w:rPr>
        <w:t>. (2021). 13(606):eaaz8690.</w:t>
      </w:r>
    </w:p>
    <w:p w14:paraId="03DBC586" w14:textId="77777777" w:rsidR="00894BCB" w:rsidRPr="00894BCB" w:rsidRDefault="00894BCB" w:rsidP="00894BCB">
      <w:pPr>
        <w:pStyle w:val="EndNoteBibliography"/>
        <w:rPr>
          <w:noProof/>
        </w:rPr>
      </w:pPr>
      <w:r w:rsidRPr="00894BCB">
        <w:rPr>
          <w:noProof/>
        </w:rPr>
        <w:t>6.</w:t>
      </w:r>
      <w:r w:rsidRPr="00894BCB">
        <w:rPr>
          <w:noProof/>
        </w:rPr>
        <w:tab/>
        <w:t xml:space="preserve">S Rahman, Hollis A. The effect of antibiotic usage on resistance in humans and food-producing animals: a longitudinal, One Health analysis using European data. </w:t>
      </w:r>
      <w:r w:rsidRPr="00894BCB">
        <w:rPr>
          <w:i/>
          <w:noProof/>
        </w:rPr>
        <w:t>Frontiers in Public Health</w:t>
      </w:r>
      <w:r w:rsidRPr="00894BCB">
        <w:rPr>
          <w:noProof/>
        </w:rPr>
        <w:t>. (2023). 11:1170426.</w:t>
      </w:r>
    </w:p>
    <w:p w14:paraId="34EE77B9" w14:textId="6F394A14" w:rsidR="00077D7E" w:rsidRPr="00BA4009" w:rsidRDefault="00EA141A" w:rsidP="001C40C2">
      <w:pPr>
        <w:spacing w:line="360" w:lineRule="auto"/>
      </w:pPr>
      <w:r>
        <w:fldChar w:fldCharType="end"/>
      </w:r>
    </w:p>
    <w:sectPr w:rsidR="00077D7E" w:rsidRPr="00BA4009" w:rsidSect="00C74620">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53C74" w14:textId="77777777" w:rsidR="00714B00" w:rsidRDefault="00714B00" w:rsidP="00BA4009">
      <w:r>
        <w:separator/>
      </w:r>
    </w:p>
  </w:endnote>
  <w:endnote w:type="continuationSeparator" w:id="0">
    <w:p w14:paraId="24CCC6FE" w14:textId="77777777" w:rsidR="00714B00" w:rsidRDefault="00714B00" w:rsidP="00BA4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D91FF" w14:textId="77777777" w:rsidR="00714B00" w:rsidRDefault="00714B00" w:rsidP="00BA4009">
      <w:r>
        <w:separator/>
      </w:r>
    </w:p>
  </w:footnote>
  <w:footnote w:type="continuationSeparator" w:id="0">
    <w:p w14:paraId="6BD63959" w14:textId="77777777" w:rsidR="00714B00" w:rsidRDefault="00714B00" w:rsidP="00BA40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E3FE2"/>
    <w:multiLevelType w:val="hybridMultilevel"/>
    <w:tmpl w:val="27320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3D7502"/>
    <w:multiLevelType w:val="hybridMultilevel"/>
    <w:tmpl w:val="57E68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04031">
    <w:abstractNumId w:val="0"/>
  </w:num>
  <w:num w:numId="2" w16cid:durableId="2071725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_Alex&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9E4E20"/>
    <w:rsid w:val="00040778"/>
    <w:rsid w:val="00044F7F"/>
    <w:rsid w:val="00060FBA"/>
    <w:rsid w:val="00077D7E"/>
    <w:rsid w:val="000962F2"/>
    <w:rsid w:val="000A7492"/>
    <w:rsid w:val="000B1539"/>
    <w:rsid w:val="000D0641"/>
    <w:rsid w:val="000E72BC"/>
    <w:rsid w:val="00170B3D"/>
    <w:rsid w:val="00194E34"/>
    <w:rsid w:val="001C2A2D"/>
    <w:rsid w:val="001C40C2"/>
    <w:rsid w:val="001E3DAD"/>
    <w:rsid w:val="001E63B5"/>
    <w:rsid w:val="00210398"/>
    <w:rsid w:val="002128B6"/>
    <w:rsid w:val="00242F1C"/>
    <w:rsid w:val="0024316E"/>
    <w:rsid w:val="002847D3"/>
    <w:rsid w:val="0029525D"/>
    <w:rsid w:val="002A4395"/>
    <w:rsid w:val="00307462"/>
    <w:rsid w:val="00343249"/>
    <w:rsid w:val="00361D45"/>
    <w:rsid w:val="003769AF"/>
    <w:rsid w:val="003907F0"/>
    <w:rsid w:val="003A612D"/>
    <w:rsid w:val="003A7262"/>
    <w:rsid w:val="003C7466"/>
    <w:rsid w:val="003F1223"/>
    <w:rsid w:val="003F256C"/>
    <w:rsid w:val="00401EAE"/>
    <w:rsid w:val="00421D13"/>
    <w:rsid w:val="00433333"/>
    <w:rsid w:val="004617C7"/>
    <w:rsid w:val="0046341A"/>
    <w:rsid w:val="00464781"/>
    <w:rsid w:val="00475A0A"/>
    <w:rsid w:val="00496971"/>
    <w:rsid w:val="004C0132"/>
    <w:rsid w:val="004C7025"/>
    <w:rsid w:val="004D5673"/>
    <w:rsid w:val="004E299A"/>
    <w:rsid w:val="00503D2F"/>
    <w:rsid w:val="00505789"/>
    <w:rsid w:val="005129C3"/>
    <w:rsid w:val="005502E2"/>
    <w:rsid w:val="005778F2"/>
    <w:rsid w:val="00582A2D"/>
    <w:rsid w:val="005B4114"/>
    <w:rsid w:val="005B5052"/>
    <w:rsid w:val="005B5A3D"/>
    <w:rsid w:val="00616CA3"/>
    <w:rsid w:val="006302A5"/>
    <w:rsid w:val="0064298D"/>
    <w:rsid w:val="00667A5A"/>
    <w:rsid w:val="006965D6"/>
    <w:rsid w:val="006E0547"/>
    <w:rsid w:val="006F2B17"/>
    <w:rsid w:val="00714B00"/>
    <w:rsid w:val="00735AFF"/>
    <w:rsid w:val="00742816"/>
    <w:rsid w:val="007E5DB7"/>
    <w:rsid w:val="00806D07"/>
    <w:rsid w:val="0082351B"/>
    <w:rsid w:val="00840AF9"/>
    <w:rsid w:val="00894BCB"/>
    <w:rsid w:val="00897EA2"/>
    <w:rsid w:val="008A33C8"/>
    <w:rsid w:val="008C4387"/>
    <w:rsid w:val="008D15C0"/>
    <w:rsid w:val="008F41CB"/>
    <w:rsid w:val="0090348E"/>
    <w:rsid w:val="00955AC0"/>
    <w:rsid w:val="00956A3B"/>
    <w:rsid w:val="009E4E20"/>
    <w:rsid w:val="009E626F"/>
    <w:rsid w:val="009F649F"/>
    <w:rsid w:val="00A03031"/>
    <w:rsid w:val="00A1180E"/>
    <w:rsid w:val="00A200DB"/>
    <w:rsid w:val="00A3506E"/>
    <w:rsid w:val="00A47C96"/>
    <w:rsid w:val="00A51E41"/>
    <w:rsid w:val="00A6748B"/>
    <w:rsid w:val="00A9077C"/>
    <w:rsid w:val="00A97E7A"/>
    <w:rsid w:val="00AD30A2"/>
    <w:rsid w:val="00AF3795"/>
    <w:rsid w:val="00AF4838"/>
    <w:rsid w:val="00B06A8A"/>
    <w:rsid w:val="00B37D4F"/>
    <w:rsid w:val="00B475B5"/>
    <w:rsid w:val="00B5558E"/>
    <w:rsid w:val="00B565D9"/>
    <w:rsid w:val="00B841A4"/>
    <w:rsid w:val="00BA4009"/>
    <w:rsid w:val="00BC1DA4"/>
    <w:rsid w:val="00BC3751"/>
    <w:rsid w:val="00BC5EC8"/>
    <w:rsid w:val="00BF3244"/>
    <w:rsid w:val="00C17E00"/>
    <w:rsid w:val="00C25977"/>
    <w:rsid w:val="00C37CE0"/>
    <w:rsid w:val="00C702C8"/>
    <w:rsid w:val="00C74620"/>
    <w:rsid w:val="00C846D0"/>
    <w:rsid w:val="00CA7EE1"/>
    <w:rsid w:val="00CB739F"/>
    <w:rsid w:val="00CD1D20"/>
    <w:rsid w:val="00CD44AA"/>
    <w:rsid w:val="00D33683"/>
    <w:rsid w:val="00D47F62"/>
    <w:rsid w:val="00DA241F"/>
    <w:rsid w:val="00DA600D"/>
    <w:rsid w:val="00DF555A"/>
    <w:rsid w:val="00E0518E"/>
    <w:rsid w:val="00E13A04"/>
    <w:rsid w:val="00E55867"/>
    <w:rsid w:val="00E773E1"/>
    <w:rsid w:val="00E9642D"/>
    <w:rsid w:val="00EA141A"/>
    <w:rsid w:val="00EA43AF"/>
    <w:rsid w:val="00EC7FB2"/>
    <w:rsid w:val="00EF4B13"/>
    <w:rsid w:val="00EF6510"/>
    <w:rsid w:val="00F31723"/>
    <w:rsid w:val="00F4741D"/>
    <w:rsid w:val="00F5257D"/>
    <w:rsid w:val="00F83086"/>
    <w:rsid w:val="00F83E65"/>
    <w:rsid w:val="00FD2221"/>
    <w:rsid w:val="00FE7C7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D2870"/>
  <w15:chartTrackingRefBased/>
  <w15:docId w15:val="{8D338F1C-A0A2-F449-90F0-C5DE6443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009"/>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E20"/>
    <w:pPr>
      <w:spacing w:after="200" w:line="288" w:lineRule="auto"/>
      <w:ind w:left="720"/>
      <w:contextualSpacing/>
    </w:pPr>
    <w:rPr>
      <w:rFonts w:eastAsiaTheme="minorEastAsia"/>
      <w:kern w:val="0"/>
      <w:sz w:val="21"/>
      <w:szCs w:val="21"/>
      <w14:ligatures w14:val="none"/>
    </w:rPr>
  </w:style>
  <w:style w:type="paragraph" w:styleId="Header">
    <w:name w:val="header"/>
    <w:basedOn w:val="Normal"/>
    <w:link w:val="HeaderChar"/>
    <w:uiPriority w:val="99"/>
    <w:unhideWhenUsed/>
    <w:rsid w:val="00BA4009"/>
    <w:pPr>
      <w:tabs>
        <w:tab w:val="center" w:pos="4513"/>
        <w:tab w:val="right" w:pos="9026"/>
      </w:tabs>
    </w:pPr>
  </w:style>
  <w:style w:type="character" w:customStyle="1" w:styleId="HeaderChar">
    <w:name w:val="Header Char"/>
    <w:basedOn w:val="DefaultParagraphFont"/>
    <w:link w:val="Header"/>
    <w:uiPriority w:val="99"/>
    <w:rsid w:val="00BA4009"/>
    <w:rPr>
      <w:lang w:val="en-GB"/>
    </w:rPr>
  </w:style>
  <w:style w:type="paragraph" w:styleId="Footer">
    <w:name w:val="footer"/>
    <w:basedOn w:val="Normal"/>
    <w:link w:val="FooterChar"/>
    <w:uiPriority w:val="99"/>
    <w:unhideWhenUsed/>
    <w:rsid w:val="00BA4009"/>
    <w:pPr>
      <w:tabs>
        <w:tab w:val="center" w:pos="4513"/>
        <w:tab w:val="right" w:pos="9026"/>
      </w:tabs>
    </w:pPr>
  </w:style>
  <w:style w:type="character" w:customStyle="1" w:styleId="FooterChar">
    <w:name w:val="Footer Char"/>
    <w:basedOn w:val="DefaultParagraphFont"/>
    <w:link w:val="Footer"/>
    <w:uiPriority w:val="99"/>
    <w:rsid w:val="00BA4009"/>
    <w:rPr>
      <w:lang w:val="en-GB"/>
    </w:rPr>
  </w:style>
  <w:style w:type="paragraph" w:styleId="NormalWeb">
    <w:name w:val="Normal (Web)"/>
    <w:basedOn w:val="Normal"/>
    <w:uiPriority w:val="99"/>
    <w:unhideWhenUsed/>
    <w:rsid w:val="00BA4009"/>
    <w:pPr>
      <w:spacing w:before="100" w:beforeAutospacing="1" w:after="100" w:afterAutospacing="1"/>
    </w:pPr>
    <w:rPr>
      <w:rFonts w:ascii="Times New Roman" w:eastAsia="Times New Roman" w:hAnsi="Times New Roman" w:cs="Times New Roman"/>
      <w:kern w:val="0"/>
      <w:lang w:val="en-CH" w:eastAsia="en-GB"/>
      <w14:ligatures w14:val="none"/>
    </w:rPr>
  </w:style>
  <w:style w:type="paragraph" w:styleId="NoSpacing">
    <w:name w:val="No Spacing"/>
    <w:link w:val="NoSpacingChar"/>
    <w:uiPriority w:val="1"/>
    <w:qFormat/>
    <w:rsid w:val="00BA4009"/>
    <w:rPr>
      <w:kern w:val="0"/>
      <w:sz w:val="22"/>
      <w:szCs w:val="22"/>
      <w:lang w:val="en-GB"/>
      <w14:ligatures w14:val="none"/>
    </w:rPr>
  </w:style>
  <w:style w:type="character" w:customStyle="1" w:styleId="NoSpacingChar">
    <w:name w:val="No Spacing Char"/>
    <w:basedOn w:val="DefaultParagraphFont"/>
    <w:link w:val="NoSpacing"/>
    <w:uiPriority w:val="1"/>
    <w:rsid w:val="00BA4009"/>
    <w:rPr>
      <w:kern w:val="0"/>
      <w:sz w:val="22"/>
      <w:szCs w:val="22"/>
      <w:lang w:val="en-GB"/>
      <w14:ligatures w14:val="none"/>
    </w:rPr>
  </w:style>
  <w:style w:type="paragraph" w:customStyle="1" w:styleId="EndNoteBibliographyTitle">
    <w:name w:val="EndNote Bibliography Title"/>
    <w:basedOn w:val="Normal"/>
    <w:link w:val="EndNoteBibliographyTitleChar"/>
    <w:rsid w:val="00EA141A"/>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EA141A"/>
    <w:rPr>
      <w:rFonts w:ascii="Calibri" w:hAnsi="Calibri" w:cs="Calibri"/>
      <w:lang w:val="en-US"/>
    </w:rPr>
  </w:style>
  <w:style w:type="paragraph" w:customStyle="1" w:styleId="EndNoteBibliography">
    <w:name w:val="EndNote Bibliography"/>
    <w:basedOn w:val="Normal"/>
    <w:link w:val="EndNoteBibliographyChar"/>
    <w:rsid w:val="00EA141A"/>
    <w:rPr>
      <w:rFonts w:ascii="Calibri" w:hAnsi="Calibri" w:cs="Calibri"/>
      <w:lang w:val="en-US"/>
    </w:rPr>
  </w:style>
  <w:style w:type="character" w:customStyle="1" w:styleId="EndNoteBibliographyChar">
    <w:name w:val="EndNote Bibliography Char"/>
    <w:basedOn w:val="DefaultParagraphFont"/>
    <w:link w:val="EndNoteBibliography"/>
    <w:rsid w:val="00EA141A"/>
    <w:rPr>
      <w:rFonts w:ascii="Calibri" w:hAnsi="Calibri" w:cs="Calibri"/>
      <w:lang w:val="en-US"/>
    </w:rPr>
  </w:style>
  <w:style w:type="character" w:styleId="Hyperlink">
    <w:name w:val="Hyperlink"/>
    <w:basedOn w:val="DefaultParagraphFont"/>
    <w:uiPriority w:val="99"/>
    <w:unhideWhenUsed/>
    <w:rsid w:val="00EA141A"/>
    <w:rPr>
      <w:color w:val="0563C1" w:themeColor="hyperlink"/>
      <w:u w:val="single"/>
    </w:rPr>
  </w:style>
  <w:style w:type="character" w:styleId="UnresolvedMention">
    <w:name w:val="Unresolved Mention"/>
    <w:basedOn w:val="DefaultParagraphFont"/>
    <w:uiPriority w:val="99"/>
    <w:semiHidden/>
    <w:unhideWhenUsed/>
    <w:rsid w:val="00EA1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training/SIC_CaseStudy/Infection_Salmonella_ptversion.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BB08F-B60B-1E4E-BF14-9276868FF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2045</Words>
  <Characters>11661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Morgan</dc:creator>
  <cp:keywords/>
  <dc:description/>
  <cp:lastModifiedBy>Alex Morgan</cp:lastModifiedBy>
  <cp:revision>8</cp:revision>
  <cp:lastPrinted>2023-10-05T14:28:00Z</cp:lastPrinted>
  <dcterms:created xsi:type="dcterms:W3CDTF">2023-10-05T13:15:00Z</dcterms:created>
  <dcterms:modified xsi:type="dcterms:W3CDTF">2023-10-05T15:57:00Z</dcterms:modified>
</cp:coreProperties>
</file>