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B582" w14:textId="77777777" w:rsidR="000217FF" w:rsidRDefault="000217FF" w:rsidP="000217FF">
      <w:pPr>
        <w:pStyle w:val="NoSpacing"/>
        <w:spacing w:line="360" w:lineRule="auto"/>
        <w:jc w:val="center"/>
        <w:rPr>
          <w:b/>
          <w:bCs/>
          <w:u w:val="single"/>
        </w:rPr>
      </w:pPr>
      <w:bookmarkStart w:id="0" w:name="_Hlk55814797"/>
      <w:bookmarkEnd w:id="0"/>
      <w:r w:rsidRPr="00410929">
        <w:rPr>
          <w:b/>
          <w:bCs/>
          <w:u w:val="single"/>
        </w:rPr>
        <w:t>SUPPLEMENTARY MATERIAL</w:t>
      </w:r>
    </w:p>
    <w:p w14:paraId="1946249B" w14:textId="77777777" w:rsidR="000217FF" w:rsidRDefault="000217FF" w:rsidP="000217FF">
      <w:pPr>
        <w:pStyle w:val="NoSpacing"/>
        <w:spacing w:line="360" w:lineRule="auto"/>
        <w:jc w:val="center"/>
        <w:rPr>
          <w:b/>
          <w:bCs/>
          <w:u w:val="single"/>
        </w:rPr>
      </w:pPr>
    </w:p>
    <w:p w14:paraId="32F702D6" w14:textId="77777777" w:rsidR="000217FF" w:rsidRDefault="000217FF" w:rsidP="000217FF">
      <w:pPr>
        <w:spacing w:after="0" w:line="360" w:lineRule="auto"/>
        <w:jc w:val="both"/>
        <w:rPr>
          <w:b/>
          <w:noProof/>
          <w:u w:val="single"/>
          <w:lang w:eastAsia="en-GB"/>
        </w:rPr>
      </w:pPr>
      <w:r w:rsidRPr="003C05BD">
        <w:rPr>
          <w:b/>
          <w:noProof/>
          <w:u w:val="single"/>
          <w:lang w:eastAsia="en-GB"/>
        </w:rPr>
        <w:t>Model Equations</w:t>
      </w:r>
    </w:p>
    <w:p w14:paraId="4BFFA45A" w14:textId="5F1F274B" w:rsidR="000217FF" w:rsidRDefault="000217FF" w:rsidP="002F4FE4">
      <w:pPr>
        <w:rPr>
          <w:b/>
          <w:bCs/>
          <w:u w:val="single"/>
        </w:rPr>
      </w:pPr>
    </w:p>
    <w:p w14:paraId="4933453B" w14:textId="77777777" w:rsidR="000217FF" w:rsidRDefault="000217FF" w:rsidP="002F4FE4">
      <w:pPr>
        <w:rPr>
          <w:b/>
          <w:bCs/>
          <w:u w:val="single"/>
        </w:rPr>
      </w:pPr>
    </w:p>
    <w:p w14:paraId="5F1260F9" w14:textId="77777777" w:rsidR="000217FF" w:rsidRDefault="000217FF" w:rsidP="002F4FE4">
      <w:pPr>
        <w:rPr>
          <w:b/>
          <w:bCs/>
          <w:u w:val="single"/>
        </w:rPr>
      </w:pPr>
    </w:p>
    <w:p w14:paraId="3A9F6F1C" w14:textId="6B62E532" w:rsidR="002F4FE4" w:rsidRPr="000217FF" w:rsidRDefault="00590D25" w:rsidP="002F4FE4">
      <w:pPr>
        <w:rPr>
          <w:b/>
          <w:bCs/>
          <w:u w:val="single"/>
        </w:rPr>
      </w:pPr>
      <w:r w:rsidRPr="000217FF">
        <w:rPr>
          <w:b/>
          <w:bCs/>
          <w:u w:val="single"/>
        </w:rPr>
        <w:t>Data Manipulation</w:t>
      </w:r>
    </w:p>
    <w:p w14:paraId="48CE37C7" w14:textId="77777777" w:rsidR="000217FF" w:rsidRDefault="000217FF" w:rsidP="002F4FE4"/>
    <w:p w14:paraId="627E2618" w14:textId="1176630F" w:rsidR="00590D25" w:rsidRDefault="00590D25" w:rsidP="002F4FE4">
      <w:r>
        <w:t>The datasets used – general vs import datasets</w:t>
      </w:r>
    </w:p>
    <w:p w14:paraId="0E0D6956" w14:textId="64C8DF32" w:rsidR="00590D25" w:rsidRDefault="00590D25" w:rsidP="00590D25">
      <w:pPr>
        <w:pStyle w:val="ListParagraph"/>
        <w:numPr>
          <w:ilvl w:val="0"/>
          <w:numId w:val="1"/>
        </w:numPr>
      </w:pPr>
      <w:r>
        <w:t>General datasets</w:t>
      </w:r>
    </w:p>
    <w:p w14:paraId="092777F7" w14:textId="388A8DA6" w:rsidR="00590D25" w:rsidRDefault="00590D25" w:rsidP="00590D25">
      <w:pPr>
        <w:pStyle w:val="ListParagraph"/>
        <w:numPr>
          <w:ilvl w:val="1"/>
          <w:numId w:val="1"/>
        </w:numPr>
      </w:pPr>
      <w:r>
        <w:t xml:space="preserve">Provide rationale for the datasets – why we picked ampicillin inf attending pigs etc </w:t>
      </w:r>
    </w:p>
    <w:p w14:paraId="3668E129" w14:textId="336E9E1A" w:rsidR="00590D25" w:rsidRDefault="00590D25" w:rsidP="00590D25">
      <w:pPr>
        <w:pStyle w:val="ListParagraph"/>
        <w:numPr>
          <w:ilvl w:val="1"/>
          <w:numId w:val="1"/>
        </w:numPr>
      </w:pPr>
      <w:r>
        <w:t xml:space="preserve">Where we obtained the data from </w:t>
      </w:r>
    </w:p>
    <w:p w14:paraId="35B40CB5" w14:textId="73F5DDF3" w:rsidR="00590D25" w:rsidRDefault="00590D25" w:rsidP="00590D25">
      <w:pPr>
        <w:pStyle w:val="ListParagraph"/>
        <w:numPr>
          <w:ilvl w:val="1"/>
          <w:numId w:val="1"/>
        </w:numPr>
      </w:pPr>
      <w:r>
        <w:t xml:space="preserve">What stuff did we do to the data </w:t>
      </w:r>
    </w:p>
    <w:p w14:paraId="3A50B67A" w14:textId="77777777" w:rsidR="00C80522" w:rsidRDefault="00C80522" w:rsidP="00590D25">
      <w:pPr>
        <w:pStyle w:val="ListParagraph"/>
        <w:numPr>
          <w:ilvl w:val="1"/>
          <w:numId w:val="1"/>
        </w:numPr>
      </w:pPr>
    </w:p>
    <w:p w14:paraId="74AB4D4C" w14:textId="00D1E805" w:rsidR="00590D25" w:rsidRDefault="00590D25" w:rsidP="00590D25">
      <w:pPr>
        <w:pStyle w:val="ListParagraph"/>
        <w:numPr>
          <w:ilvl w:val="0"/>
          <w:numId w:val="1"/>
        </w:numPr>
      </w:pPr>
      <w:r>
        <w:t xml:space="preserve">Import dataset </w:t>
      </w:r>
    </w:p>
    <w:p w14:paraId="0FBEB407" w14:textId="6F826A33" w:rsidR="00590D25" w:rsidRPr="00667E9D" w:rsidRDefault="00590D25" w:rsidP="00590D25">
      <w:pPr>
        <w:pStyle w:val="ListParagraph"/>
        <w:numPr>
          <w:ilvl w:val="1"/>
          <w:numId w:val="1"/>
        </w:numPr>
        <w:rPr>
          <w:b/>
          <w:bCs/>
        </w:rPr>
      </w:pPr>
      <w:r w:rsidRPr="00667E9D">
        <w:rPr>
          <w:b/>
          <w:bCs/>
        </w:rPr>
        <w:t>How we calculated proportion of food usage from specific countries</w:t>
      </w:r>
    </w:p>
    <w:p w14:paraId="44D080D8" w14:textId="5E57917B" w:rsidR="00590D25" w:rsidRDefault="00590D25" w:rsidP="00590D25">
      <w:pPr>
        <w:pStyle w:val="ListParagraph"/>
        <w:numPr>
          <w:ilvl w:val="2"/>
          <w:numId w:val="1"/>
        </w:numPr>
        <w:rPr>
          <w:b/>
          <w:bCs/>
        </w:rPr>
      </w:pPr>
      <w:r w:rsidRPr="00667E9D">
        <w:rPr>
          <w:b/>
          <w:bCs/>
        </w:rPr>
        <w:t xml:space="preserve">Using the different datasets </w:t>
      </w:r>
    </w:p>
    <w:p w14:paraId="6074F18D" w14:textId="1C663CF2" w:rsidR="00667E9D" w:rsidRPr="00667E9D" w:rsidRDefault="00667E9D" w:rsidP="00590D2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Large amount of data and info here</w:t>
      </w:r>
    </w:p>
    <w:p w14:paraId="51992E70" w14:textId="2DFBB5B4" w:rsidR="00590D25" w:rsidRDefault="00590D25" w:rsidP="00590D25">
      <w:pPr>
        <w:pStyle w:val="ListParagraph"/>
        <w:numPr>
          <w:ilvl w:val="1"/>
          <w:numId w:val="1"/>
        </w:numPr>
      </w:pPr>
      <w:r>
        <w:t>Level of contamination and resistance from these countries</w:t>
      </w:r>
      <w:r w:rsidR="00667E9D">
        <w:t xml:space="preserve"> (mention what years we used)</w:t>
      </w:r>
    </w:p>
    <w:p w14:paraId="4408C0CE" w14:textId="0C6A927D" w:rsidR="00590D25" w:rsidRDefault="00590D25" w:rsidP="00590D25">
      <w:pPr>
        <w:pStyle w:val="ListParagraph"/>
        <w:numPr>
          <w:ilvl w:val="2"/>
          <w:numId w:val="1"/>
        </w:numPr>
      </w:pPr>
      <w:r>
        <w:t xml:space="preserve">Contamination we specifically took data from carcasses – rather than fresh as this is more representative of imported food </w:t>
      </w:r>
    </w:p>
    <w:p w14:paraId="5B66FEF4" w14:textId="4FE88910" w:rsidR="00590D25" w:rsidRDefault="00590D25" w:rsidP="00667E9D">
      <w:pPr>
        <w:pStyle w:val="ListParagraph"/>
        <w:numPr>
          <w:ilvl w:val="2"/>
          <w:numId w:val="1"/>
        </w:numPr>
      </w:pPr>
      <w:r>
        <w:t>The details like making sure that the measurements were standardised and using competent authorities etc.</w:t>
      </w:r>
    </w:p>
    <w:p w14:paraId="26DF1E0E" w14:textId="1EFD85CF" w:rsidR="00667E9D" w:rsidRDefault="00667E9D" w:rsidP="00667E9D">
      <w:pPr>
        <w:pStyle w:val="ListParagraph"/>
        <w:numPr>
          <w:ilvl w:val="2"/>
          <w:numId w:val="1"/>
        </w:numPr>
      </w:pPr>
      <w:r>
        <w:t xml:space="preserve">Resistance we just took from the general fitting dataset </w:t>
      </w:r>
    </w:p>
    <w:p w14:paraId="34EA08C0" w14:textId="77777777" w:rsidR="00C80522" w:rsidRDefault="00C80522" w:rsidP="00C80522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DEFRA has data on the relative share of Domestic vs EU vs </w:t>
      </w:r>
      <w:proofErr w:type="spellStart"/>
      <w:r>
        <w:rPr>
          <w:bCs/>
        </w:rPr>
        <w:t>nEU</w:t>
      </w:r>
      <w:proofErr w:type="spellEnd"/>
      <w:r>
        <w:rPr>
          <w:bCs/>
        </w:rPr>
        <w:t xml:space="preserve"> countries on the UK’s food supply. </w:t>
      </w:r>
    </w:p>
    <w:p w14:paraId="115E7E27" w14:textId="77777777" w:rsidR="00C80522" w:rsidRDefault="00C80522" w:rsidP="00C80522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However this is for general food products not specific to livestock origin food products – therefore it must be scaled for livestock food products (excluding things like </w:t>
      </w:r>
      <w:proofErr w:type="spellStart"/>
      <w:r>
        <w:rPr>
          <w:bCs/>
        </w:rPr>
        <w:t>vegetablexss</w:t>
      </w:r>
      <w:proofErr w:type="spellEnd"/>
      <w:r>
        <w:rPr>
          <w:bCs/>
        </w:rPr>
        <w:t xml:space="preserve"> and processed food imports) </w:t>
      </w:r>
    </w:p>
    <w:p w14:paraId="711A4DD2" w14:textId="77777777" w:rsidR="00C80522" w:rsidRDefault="00C80522" w:rsidP="00C80522">
      <w:pPr>
        <w:pStyle w:val="ListParagraph"/>
        <w:numPr>
          <w:ilvl w:val="1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We note that two cases </w:t>
      </w:r>
      <w:proofErr w:type="spellStart"/>
      <w:r>
        <w:rPr>
          <w:bCs/>
        </w:rPr>
        <w:t>tudies</w:t>
      </w:r>
      <w:proofErr w:type="spellEnd"/>
      <w:r>
        <w:rPr>
          <w:bCs/>
        </w:rPr>
        <w:t xml:space="preserve"> were explored to explore the effect – general livestock food products (psi = 0.656) and pig carcasses (psi = 0.4545)</w:t>
      </w:r>
    </w:p>
    <w:p w14:paraId="19285F36" w14:textId="77777777" w:rsidR="00C80522" w:rsidRDefault="00C80522" w:rsidP="00C80522">
      <w:pPr>
        <w:pStyle w:val="ListParagraph"/>
        <w:numPr>
          <w:ilvl w:val="1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It is important to note that while pigs are the case study chosen by this study – the general import proportions were used to have a fairer </w:t>
      </w:r>
      <w:proofErr w:type="spellStart"/>
      <w:r>
        <w:rPr>
          <w:bCs/>
        </w:rPr>
        <w:t>repsentation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nEU</w:t>
      </w:r>
      <w:proofErr w:type="spellEnd"/>
      <w:r>
        <w:rPr>
          <w:bCs/>
        </w:rPr>
        <w:t xml:space="preserve"> imports (perhaps need to justify this decision better)</w:t>
      </w:r>
    </w:p>
    <w:p w14:paraId="3CD96014" w14:textId="77777777" w:rsidR="00C80522" w:rsidRDefault="00C80522" w:rsidP="00C80522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We therefore generated the proportion of UK food supply for general livestock food products – including poultry, beef, pork and eggs – from EU and </w:t>
      </w:r>
      <w:proofErr w:type="spellStart"/>
      <w:r>
        <w:rPr>
          <w:bCs/>
        </w:rPr>
        <w:t>nEU</w:t>
      </w:r>
      <w:proofErr w:type="spellEnd"/>
      <w:r>
        <w:rPr>
          <w:bCs/>
        </w:rPr>
        <w:t xml:space="preserve"> countries (rest of the world) – by </w:t>
      </w:r>
      <w:proofErr w:type="spellStart"/>
      <w:r>
        <w:rPr>
          <w:bCs/>
        </w:rPr>
        <w:t>determiniung</w:t>
      </w:r>
      <w:proofErr w:type="spellEnd"/>
      <w:r>
        <w:rPr>
          <w:bCs/>
        </w:rPr>
        <w:t xml:space="preserve"> the dressed weight and using </w:t>
      </w:r>
      <w:proofErr w:type="spellStart"/>
      <w:r>
        <w:rPr>
          <w:bCs/>
        </w:rPr>
        <w:t>thgis</w:t>
      </w:r>
      <w:proofErr w:type="spellEnd"/>
      <w:r>
        <w:rPr>
          <w:bCs/>
        </w:rPr>
        <w:t xml:space="preserve"> to generate the </w:t>
      </w:r>
      <w:proofErr w:type="spellStart"/>
      <w:r>
        <w:rPr>
          <w:bCs/>
        </w:rPr>
        <w:t>propiortioons</w:t>
      </w:r>
      <w:proofErr w:type="spellEnd"/>
      <w:r>
        <w:rPr>
          <w:bCs/>
        </w:rPr>
        <w:t xml:space="preserve"> </w:t>
      </w:r>
    </w:p>
    <w:p w14:paraId="7A47A159" w14:textId="77777777" w:rsidR="00C80522" w:rsidRDefault="00C80522" w:rsidP="00C80522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lastRenderedPageBreak/>
        <w:t>We exclude milk</w:t>
      </w:r>
    </w:p>
    <w:p w14:paraId="01F580BA" w14:textId="77777777" w:rsidR="00C80522" w:rsidRDefault="00C80522" w:rsidP="00C80522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We also have data on the share of imports in the UKs EU trade partners – by </w:t>
      </w:r>
      <w:proofErr w:type="spellStart"/>
      <w:r>
        <w:rPr>
          <w:bCs/>
        </w:rPr>
        <w:t>lookinga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eproportion</w:t>
      </w:r>
      <w:proofErr w:type="spellEnd"/>
      <w:r>
        <w:rPr>
          <w:bCs/>
        </w:rPr>
        <w:t xml:space="preserve"> of money spent on </w:t>
      </w:r>
      <w:proofErr w:type="spellStart"/>
      <w:r>
        <w:rPr>
          <w:bCs/>
        </w:rPr>
        <w:t>iumports</w:t>
      </w:r>
      <w:proofErr w:type="spellEnd"/>
      <w:r>
        <w:rPr>
          <w:bCs/>
        </w:rPr>
        <w:t xml:space="preserve"> for the UK</w:t>
      </w:r>
    </w:p>
    <w:p w14:paraId="425804A9" w14:textId="77777777" w:rsidR="00C80522" w:rsidRPr="00743602" w:rsidRDefault="00C80522" w:rsidP="00C80522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We can then use the difference between the official </w:t>
      </w:r>
      <w:proofErr w:type="spellStart"/>
      <w:r>
        <w:rPr>
          <w:bCs/>
        </w:rPr>
        <w:t>reportsz</w:t>
      </w:r>
      <w:proofErr w:type="spellEnd"/>
      <w:r>
        <w:rPr>
          <w:bCs/>
        </w:rPr>
        <w:t xml:space="preserve"> for all food products and the ones for livestock food products and scale these EU importing countries </w:t>
      </w:r>
      <w:proofErr w:type="spellStart"/>
      <w:r>
        <w:rPr>
          <w:bCs/>
        </w:rPr>
        <w:t>approiately</w:t>
      </w:r>
      <w:proofErr w:type="spellEnd"/>
      <w:r>
        <w:rPr>
          <w:bCs/>
        </w:rPr>
        <w:t xml:space="preserve">. </w:t>
      </w:r>
    </w:p>
    <w:p w14:paraId="7F03192E" w14:textId="77777777" w:rsidR="00C80522" w:rsidRDefault="00C80522" w:rsidP="00667E9D">
      <w:pPr>
        <w:pStyle w:val="ListParagraph"/>
        <w:numPr>
          <w:ilvl w:val="2"/>
          <w:numId w:val="1"/>
        </w:numPr>
      </w:pPr>
    </w:p>
    <w:p w14:paraId="4471FFBC" w14:textId="7EFFE51A" w:rsidR="00667E9D" w:rsidRDefault="00667E9D" w:rsidP="00667E9D">
      <w:pPr>
        <w:pStyle w:val="ListParagraph"/>
        <w:numPr>
          <w:ilvl w:val="0"/>
          <w:numId w:val="1"/>
        </w:numPr>
      </w:pPr>
      <w:r>
        <w:t>UK specific outcome measures</w:t>
      </w:r>
    </w:p>
    <w:p w14:paraId="3A050258" w14:textId="17D29842" w:rsidR="00667E9D" w:rsidRDefault="00667E9D" w:rsidP="00667E9D">
      <w:pPr>
        <w:pStyle w:val="ListParagraph"/>
        <w:numPr>
          <w:ilvl w:val="1"/>
          <w:numId w:val="1"/>
        </w:numPr>
      </w:pPr>
      <w:r>
        <w:t>Livestock resistance</w:t>
      </w:r>
    </w:p>
    <w:p w14:paraId="0527D839" w14:textId="3766AD67" w:rsidR="00667E9D" w:rsidRDefault="00667E9D" w:rsidP="00667E9D">
      <w:pPr>
        <w:pStyle w:val="ListParagraph"/>
        <w:numPr>
          <w:ilvl w:val="1"/>
          <w:numId w:val="1"/>
        </w:numPr>
      </w:pPr>
      <w:r>
        <w:t>Livestock contamination</w:t>
      </w:r>
    </w:p>
    <w:p w14:paraId="7917106C" w14:textId="264C2016" w:rsidR="00667E9D" w:rsidRDefault="00667E9D" w:rsidP="00667E9D">
      <w:pPr>
        <w:pStyle w:val="ListParagraph"/>
        <w:numPr>
          <w:ilvl w:val="2"/>
          <w:numId w:val="1"/>
        </w:numPr>
      </w:pPr>
      <w:r>
        <w:t xml:space="preserve">Mention here is where we figured we would need to have an extra parameter describing the reduction in caecum to carcass </w:t>
      </w:r>
    </w:p>
    <w:p w14:paraId="5177B319" w14:textId="254ED060" w:rsidR="00667E9D" w:rsidRDefault="00667E9D" w:rsidP="00667E9D">
      <w:pPr>
        <w:pStyle w:val="ListParagraph"/>
        <w:numPr>
          <w:ilvl w:val="1"/>
          <w:numId w:val="1"/>
        </w:numPr>
      </w:pPr>
      <w:r>
        <w:t>Human resistance</w:t>
      </w:r>
    </w:p>
    <w:p w14:paraId="5B9CB795" w14:textId="6C2F7B3F" w:rsidR="00667E9D" w:rsidRDefault="00667E9D" w:rsidP="00667E9D">
      <w:pPr>
        <w:pStyle w:val="ListParagraph"/>
        <w:numPr>
          <w:ilvl w:val="1"/>
          <w:numId w:val="1"/>
        </w:numPr>
      </w:pPr>
      <w:r>
        <w:t xml:space="preserve">Human </w:t>
      </w:r>
      <w:proofErr w:type="spellStart"/>
      <w:r>
        <w:t>fbd</w:t>
      </w:r>
      <w:proofErr w:type="spellEnd"/>
      <w:r>
        <w:t xml:space="preserve"> – mention that we missed the 2016 year so we only use a single year </w:t>
      </w:r>
    </w:p>
    <w:p w14:paraId="749819B8" w14:textId="3ECA3E7A" w:rsidR="00176D51" w:rsidRDefault="00176D51" w:rsidP="00176D51"/>
    <w:p w14:paraId="71F3AA97" w14:textId="77777777" w:rsidR="00176D51" w:rsidRDefault="00176D51" w:rsidP="00176D51">
      <w:pPr>
        <w:spacing w:after="0" w:line="360" w:lineRule="auto"/>
        <w:rPr>
          <w:bCs/>
        </w:rPr>
      </w:pPr>
      <w:r>
        <w:rPr>
          <w:bCs/>
        </w:rPr>
        <w:t xml:space="preserve">Data was obtained from X paper which identified a prevalence of Salmonella spp. found in the caecum of pigs of 32.2%. We also identify a UK level of </w:t>
      </w:r>
      <w:proofErr w:type="spellStart"/>
      <w:r>
        <w:rPr>
          <w:bCs/>
        </w:rPr>
        <w:t>contamiantion</w:t>
      </w:r>
      <w:proofErr w:type="spellEnd"/>
      <w:r>
        <w:rPr>
          <w:bCs/>
        </w:rPr>
        <w:t xml:space="preserve"> on pig carcasses of 2.865%, representing a reduction in the proportion of 89%. We use this value to parameterise the eta parameter. </w:t>
      </w:r>
    </w:p>
    <w:p w14:paraId="2BE4624F" w14:textId="77777777" w:rsidR="00176D51" w:rsidRDefault="00176D51" w:rsidP="00176D51">
      <w:pPr>
        <w:pStyle w:val="ListParagraph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Specifically the removal of certain </w:t>
      </w:r>
      <w:proofErr w:type="spellStart"/>
      <w:r>
        <w:rPr>
          <w:bCs/>
        </w:rPr>
        <w:t>datapoints</w:t>
      </w:r>
      <w:proofErr w:type="spellEnd"/>
      <w:r>
        <w:rPr>
          <w:bCs/>
        </w:rPr>
        <w:t xml:space="preserve"> because they were unrealistic (where it was just 45/45 resistant), the fact that we used 3 </w:t>
      </w:r>
      <w:proofErr w:type="spellStart"/>
      <w:r>
        <w:rPr>
          <w:bCs/>
        </w:rPr>
        <w:t>years worth</w:t>
      </w:r>
      <w:proofErr w:type="spellEnd"/>
      <w:r>
        <w:rPr>
          <w:bCs/>
        </w:rPr>
        <w:t xml:space="preserve"> of data (2015, 2016, 2017, 2018) – although one of these intermediate years aren’t available </w:t>
      </w:r>
    </w:p>
    <w:p w14:paraId="6FCBA130" w14:textId="77777777" w:rsidR="00176D51" w:rsidRDefault="00176D51" w:rsidP="00176D51">
      <w:bookmarkStart w:id="1" w:name="_GoBack"/>
      <w:bookmarkEnd w:id="1"/>
    </w:p>
    <w:p w14:paraId="0030B4CE" w14:textId="07D98B3A" w:rsidR="005E49A5" w:rsidRDefault="005E49A5" w:rsidP="005E49A5"/>
    <w:p w14:paraId="3FBEEBA3" w14:textId="1A62B591" w:rsidR="00C80522" w:rsidRDefault="00C80522" w:rsidP="005E49A5"/>
    <w:p w14:paraId="57DC3DFC" w14:textId="77777777" w:rsidR="00C80522" w:rsidRDefault="00C80522" w:rsidP="005E49A5"/>
    <w:p w14:paraId="3BDC7AED" w14:textId="4D605EAC" w:rsidR="005E49A5" w:rsidRDefault="005E49A5" w:rsidP="005E49A5">
      <w:r>
        <w:t>Supplementary Figures</w:t>
      </w:r>
    </w:p>
    <w:p w14:paraId="74FDA178" w14:textId="2A9524EA" w:rsidR="00E621C6" w:rsidRDefault="00E621C6" w:rsidP="005E49A5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Model </w:t>
      </w:r>
      <w:r w:rsidR="001862E7">
        <w:rPr>
          <w:highlight w:val="yellow"/>
        </w:rPr>
        <w:t xml:space="preserve">fit – the one case study with a linear regression -  to show that there is a relationship between livestock antibiotic usage and resistance </w:t>
      </w:r>
    </w:p>
    <w:p w14:paraId="02B45B82" w14:textId="3748DE09" w:rsidR="001862E7" w:rsidRPr="001862E7" w:rsidRDefault="0026415C" w:rsidP="001862E7">
      <w:pPr>
        <w:rPr>
          <w:highlight w:val="yellow"/>
        </w:rPr>
      </w:pPr>
      <w:r>
        <w:rPr>
          <w:noProof/>
          <w:lang w:eastAsia="en-GB"/>
        </w:rPr>
        <w:lastRenderedPageBreak/>
        <w:drawing>
          <wp:inline distT="0" distB="0" distL="0" distR="0" wp14:anchorId="09E29E88" wp14:editId="591C13F3">
            <wp:extent cx="5731510" cy="4585335"/>
            <wp:effectExtent l="0" t="0" r="2540" b="571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1AF0" w14:textId="0130A74E" w:rsidR="00E621C6" w:rsidRDefault="00E621C6" w:rsidP="005E49A5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Diagnostic plots for the </w:t>
      </w:r>
      <w:r w:rsidR="00A937FB">
        <w:rPr>
          <w:highlight w:val="yellow"/>
        </w:rPr>
        <w:t xml:space="preserve">model fits – </w:t>
      </w:r>
      <w:r w:rsidR="0026415C">
        <w:rPr>
          <w:highlight w:val="yellow"/>
        </w:rPr>
        <w:t>ideally,</w:t>
      </w:r>
      <w:r w:rsidR="00A937FB">
        <w:rPr>
          <w:highlight w:val="yellow"/>
        </w:rPr>
        <w:t xml:space="preserve"> we have the plots which show the fitted distances compared to epsilon for each generation </w:t>
      </w:r>
    </w:p>
    <w:p w14:paraId="747F7407" w14:textId="2704DEE2" w:rsidR="00A937FB" w:rsidRPr="0026415C" w:rsidRDefault="005E49A5" w:rsidP="00A937FB">
      <w:pPr>
        <w:pStyle w:val="ListParagraph"/>
        <w:numPr>
          <w:ilvl w:val="0"/>
          <w:numId w:val="2"/>
        </w:numPr>
        <w:rPr>
          <w:highlight w:val="yellow"/>
        </w:rPr>
      </w:pPr>
      <w:r w:rsidRPr="005E49A5">
        <w:rPr>
          <w:highlight w:val="yellow"/>
        </w:rPr>
        <w:t>Monotonicity plots for general senstivity analysis</w:t>
      </w:r>
    </w:p>
    <w:p w14:paraId="051CC0A2" w14:textId="2B4CB184" w:rsidR="005E49A5" w:rsidRDefault="0026415C" w:rsidP="00A937FB">
      <w:pPr>
        <w:rPr>
          <w:highlight w:val="yellow"/>
        </w:rPr>
      </w:pPr>
      <w:r>
        <w:rPr>
          <w:noProof/>
          <w:lang w:eastAsia="en-GB"/>
        </w:rPr>
        <w:drawing>
          <wp:inline distT="0" distB="0" distL="0" distR="0" wp14:anchorId="5EBD2B69" wp14:editId="7AEF6317">
            <wp:extent cx="2084614" cy="291846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35" cy="29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9A5" w:rsidRPr="00A937FB">
        <w:rPr>
          <w:highlight w:val="yellow"/>
        </w:rPr>
        <w:t xml:space="preserve"> </w:t>
      </w:r>
    </w:p>
    <w:p w14:paraId="756BD7C5" w14:textId="77777777" w:rsidR="00A937FB" w:rsidRPr="00A937FB" w:rsidRDefault="00A937FB" w:rsidP="00A937FB">
      <w:pPr>
        <w:rPr>
          <w:highlight w:val="yellow"/>
        </w:rPr>
      </w:pPr>
    </w:p>
    <w:p w14:paraId="0A9EA0E2" w14:textId="79A13B51" w:rsidR="00A937FB" w:rsidRPr="00A937FB" w:rsidRDefault="0026415C" w:rsidP="00A937FB">
      <w:pPr>
        <w:rPr>
          <w:highlight w:val="yellow"/>
        </w:rPr>
      </w:pPr>
      <w:r>
        <w:rPr>
          <w:noProof/>
          <w:lang w:eastAsia="en-GB"/>
        </w:rPr>
        <w:lastRenderedPageBreak/>
        <w:drawing>
          <wp:inline distT="0" distB="0" distL="0" distR="0" wp14:anchorId="1B65C2A5" wp14:editId="0DA94D11">
            <wp:extent cx="2383971" cy="333756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00" cy="333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8320" w14:textId="1FB1915B" w:rsidR="005E49A5" w:rsidRDefault="005E49A5" w:rsidP="005E49A5">
      <w:pPr>
        <w:pStyle w:val="ListParagraph"/>
        <w:numPr>
          <w:ilvl w:val="0"/>
          <w:numId w:val="2"/>
        </w:numPr>
        <w:rPr>
          <w:highlight w:val="yellow"/>
        </w:rPr>
      </w:pPr>
      <w:r w:rsidRPr="005E49A5">
        <w:rPr>
          <w:highlight w:val="yellow"/>
        </w:rPr>
        <w:t>Sensitivity analyses for the general outcome measures ICombH and resistance</w:t>
      </w:r>
    </w:p>
    <w:p w14:paraId="7A22045B" w14:textId="0EB6C9B2" w:rsidR="00A937FB" w:rsidRDefault="00A937FB" w:rsidP="00A937FB">
      <w:pPr>
        <w:rPr>
          <w:highlight w:val="yellow"/>
        </w:rPr>
      </w:pPr>
    </w:p>
    <w:p w14:paraId="15646FB5" w14:textId="1D125E74" w:rsidR="00A937FB" w:rsidRPr="00A937FB" w:rsidRDefault="0026415C" w:rsidP="00A937FB">
      <w:pPr>
        <w:rPr>
          <w:highlight w:val="yellow"/>
        </w:rPr>
      </w:pPr>
      <w:r>
        <w:rPr>
          <w:noProof/>
          <w:lang w:eastAsia="en-GB"/>
        </w:rPr>
        <w:drawing>
          <wp:inline distT="0" distB="0" distL="0" distR="0" wp14:anchorId="37ABBAF3" wp14:editId="314643F6">
            <wp:extent cx="2613660" cy="261366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2EF8" w14:textId="6E5D5AD2" w:rsidR="00A937FB" w:rsidRDefault="00A937FB" w:rsidP="00A937FB">
      <w:pPr>
        <w:rPr>
          <w:highlight w:val="yellow"/>
        </w:rPr>
      </w:pPr>
    </w:p>
    <w:p w14:paraId="01E7F814" w14:textId="1D33E05B" w:rsidR="00A937FB" w:rsidRDefault="00A937FB" w:rsidP="00A937FB">
      <w:pPr>
        <w:rPr>
          <w:highlight w:val="yellow"/>
        </w:rPr>
      </w:pPr>
    </w:p>
    <w:p w14:paraId="6A32C85D" w14:textId="192F3666" w:rsidR="0026415C" w:rsidRPr="00A937FB" w:rsidRDefault="0026415C" w:rsidP="00A937FB">
      <w:pPr>
        <w:rPr>
          <w:highlight w:val="yellow"/>
        </w:rPr>
      </w:pPr>
      <w:r>
        <w:rPr>
          <w:noProof/>
          <w:lang w:eastAsia="en-GB"/>
        </w:rPr>
        <w:lastRenderedPageBreak/>
        <w:drawing>
          <wp:inline distT="0" distB="0" distL="0" distR="0" wp14:anchorId="5254AD5E" wp14:editId="1B9CEDD9">
            <wp:extent cx="2750820" cy="2750820"/>
            <wp:effectExtent l="0" t="0" r="0" b="0"/>
            <wp:docPr id="9" name="Picture 9" descr="Chart, waterfall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844C" w14:textId="32FE344F" w:rsidR="005E49A5" w:rsidRDefault="005E49A5" w:rsidP="005E49A5">
      <w:pPr>
        <w:pStyle w:val="ListParagraph"/>
        <w:numPr>
          <w:ilvl w:val="0"/>
          <w:numId w:val="2"/>
        </w:numPr>
      </w:pPr>
      <w:r>
        <w:t>Uncertainty analysis for the main outcome measures (maybe this is a main figure?)</w:t>
      </w:r>
    </w:p>
    <w:p w14:paraId="5D298357" w14:textId="77777777" w:rsidR="0026415C" w:rsidRDefault="0026415C" w:rsidP="0026415C">
      <w:pPr>
        <w:pStyle w:val="ListParagraph"/>
        <w:numPr>
          <w:ilvl w:val="1"/>
          <w:numId w:val="2"/>
        </w:numPr>
      </w:pPr>
    </w:p>
    <w:p w14:paraId="005E804D" w14:textId="00776B82" w:rsidR="005E49A5" w:rsidRPr="005E49A5" w:rsidRDefault="005E49A5" w:rsidP="005E49A5">
      <w:pPr>
        <w:pStyle w:val="ListParagraph"/>
        <w:numPr>
          <w:ilvl w:val="0"/>
          <w:numId w:val="2"/>
        </w:numPr>
        <w:rPr>
          <w:highlight w:val="yellow"/>
        </w:rPr>
      </w:pPr>
      <w:r w:rsidRPr="005E49A5">
        <w:rPr>
          <w:highlight w:val="yellow"/>
        </w:rPr>
        <w:t xml:space="preserve">Monotonicity plots for outcome sensitivity analysis – the effect on </w:t>
      </w:r>
      <w:proofErr w:type="spellStart"/>
      <w:r w:rsidRPr="005E49A5">
        <w:rPr>
          <w:highlight w:val="yellow"/>
        </w:rPr>
        <w:t>fbd</w:t>
      </w:r>
      <w:proofErr w:type="spellEnd"/>
      <w:r w:rsidRPr="005E49A5">
        <w:rPr>
          <w:highlight w:val="yellow"/>
        </w:rPr>
        <w:t xml:space="preserve"> and resistance </w:t>
      </w:r>
    </w:p>
    <w:p w14:paraId="3A8FEA4C" w14:textId="77777777" w:rsidR="005E49A5" w:rsidRDefault="005E49A5" w:rsidP="005E49A5"/>
    <w:sectPr w:rsidR="005E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41AF"/>
    <w:multiLevelType w:val="hybridMultilevel"/>
    <w:tmpl w:val="4404B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441FD"/>
    <w:multiLevelType w:val="hybridMultilevel"/>
    <w:tmpl w:val="F9BE7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E5402"/>
    <w:multiLevelType w:val="hybridMultilevel"/>
    <w:tmpl w:val="ED7AF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0C"/>
    <w:rsid w:val="000217FF"/>
    <w:rsid w:val="00174A59"/>
    <w:rsid w:val="00176D51"/>
    <w:rsid w:val="001862E7"/>
    <w:rsid w:val="0026415C"/>
    <w:rsid w:val="002F4FE4"/>
    <w:rsid w:val="003259C2"/>
    <w:rsid w:val="004A7659"/>
    <w:rsid w:val="00590D25"/>
    <w:rsid w:val="005E49A5"/>
    <w:rsid w:val="00667E9D"/>
    <w:rsid w:val="00A937FB"/>
    <w:rsid w:val="00C80522"/>
    <w:rsid w:val="00D250E5"/>
    <w:rsid w:val="00D70D0C"/>
    <w:rsid w:val="00DD763B"/>
    <w:rsid w:val="00E6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8F48"/>
  <w15:chartTrackingRefBased/>
  <w15:docId w15:val="{40528309-5533-4B7B-93E1-0AB515BF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2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217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1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</dc:creator>
  <cp:keywords/>
  <dc:description/>
  <cp:lastModifiedBy>MORGAN Alex</cp:lastModifiedBy>
  <cp:revision>5</cp:revision>
  <dcterms:created xsi:type="dcterms:W3CDTF">2022-01-03T13:37:00Z</dcterms:created>
  <dcterms:modified xsi:type="dcterms:W3CDTF">2022-02-05T10:08:00Z</dcterms:modified>
</cp:coreProperties>
</file>