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492BFAF9"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3747EBAA" w14:textId="52E29D29" w:rsidR="00AF390E" w:rsidRDefault="00AF390E" w:rsidP="00AF390E">
      <w:pPr>
        <w:spacing w:after="0" w:line="360" w:lineRule="auto"/>
        <w:rPr>
          <w:bCs/>
        </w:rPr>
      </w:pPr>
    </w:p>
    <w:p w14:paraId="24147C1F" w14:textId="0F72B384" w:rsidR="00AF390E" w:rsidRPr="00AF390E" w:rsidRDefault="00AF390E" w:rsidP="007A072D">
      <w:pPr>
        <w:spacing w:after="0" w:line="360" w:lineRule="auto"/>
        <w:rPr>
          <w:bCs/>
        </w:rPr>
      </w:pPr>
      <w:r>
        <w:rPr>
          <w:bCs/>
        </w:rPr>
        <w:t xml:space="preserve">A one health approach has been suggested to tackle the issue of </w:t>
      </w:r>
      <w:proofErr w:type="spellStart"/>
      <w:r>
        <w:rPr>
          <w:bCs/>
        </w:rPr>
        <w:t>antmicoribal</w:t>
      </w:r>
      <w:proofErr w:type="spellEnd"/>
      <w:r>
        <w:rPr>
          <w:bCs/>
        </w:rPr>
        <w:t xml:space="preserve"> resistance (AMR). This involves an integration of livestock, human and </w:t>
      </w:r>
      <w:proofErr w:type="spellStart"/>
      <w:r>
        <w:rPr>
          <w:bCs/>
        </w:rPr>
        <w:t>enviuronemtnal</w:t>
      </w:r>
      <w:proofErr w:type="spellEnd"/>
      <w:r>
        <w:rPr>
          <w:bCs/>
        </w:rPr>
        <w:t xml:space="preserve"> health and AMR to target the wider issue of AMR – with the suggestion that all of </w:t>
      </w:r>
      <w:proofErr w:type="gramStart"/>
      <w:r>
        <w:rPr>
          <w:bCs/>
        </w:rPr>
        <w:t>this components</w:t>
      </w:r>
      <w:proofErr w:type="gramEnd"/>
      <w:r>
        <w:rPr>
          <w:bCs/>
        </w:rPr>
        <w:t xml:space="preserve"> are connected. In particular, livestock </w:t>
      </w:r>
      <w:proofErr w:type="spellStart"/>
      <w:r>
        <w:rPr>
          <w:bCs/>
        </w:rPr>
        <w:t>influne</w:t>
      </w:r>
      <w:proofErr w:type="spellEnd"/>
      <w:r>
        <w:rPr>
          <w:bCs/>
        </w:rPr>
        <w:t xml:space="preserve"> </w:t>
      </w:r>
      <w:proofErr w:type="spellStart"/>
      <w:r>
        <w:rPr>
          <w:bCs/>
        </w:rPr>
        <w:t>ceo</w:t>
      </w:r>
      <w:proofErr w:type="spellEnd"/>
      <w:r>
        <w:rPr>
          <w:bCs/>
        </w:rPr>
        <w:t xml:space="preserve"> </w:t>
      </w:r>
      <w:proofErr w:type="spellStart"/>
      <w:r>
        <w:rPr>
          <w:bCs/>
        </w:rPr>
        <w:t>fAMR</w:t>
      </w:r>
      <w:proofErr w:type="spellEnd"/>
      <w:r>
        <w:rPr>
          <w:bCs/>
        </w:rPr>
        <w:t xml:space="preserve"> has been proposed as a potential driver of human </w:t>
      </w:r>
      <w:proofErr w:type="spellStart"/>
      <w:proofErr w:type="gramStart"/>
      <w:r>
        <w:rPr>
          <w:bCs/>
        </w:rPr>
        <w:t>AMR,w</w:t>
      </w:r>
      <w:proofErr w:type="spellEnd"/>
      <w:proofErr w:type="gramEnd"/>
      <w:r>
        <w:rPr>
          <w:bCs/>
        </w:rPr>
        <w:t xml:space="preserve"> </w:t>
      </w:r>
      <w:proofErr w:type="spellStart"/>
      <w:r>
        <w:rPr>
          <w:bCs/>
        </w:rPr>
        <w:t>ith</w:t>
      </w:r>
      <w:proofErr w:type="spellEnd"/>
      <w:r>
        <w:rPr>
          <w:bCs/>
        </w:rPr>
        <w:t xml:space="preserve"> transmission occuring through direct contact , indirect transmission through an intermediate environment or through foodborne transmission – which is particularly </w:t>
      </w:r>
      <w:proofErr w:type="spellStart"/>
      <w:r>
        <w:rPr>
          <w:bCs/>
        </w:rPr>
        <w:t>importna</w:t>
      </w:r>
      <w:proofErr w:type="spellEnd"/>
      <w:r>
        <w:rPr>
          <w:bCs/>
        </w:rPr>
        <w:t xml:space="preserve"> for foodborne pathogens which have been identified as an important pathogen of interest. </w:t>
      </w:r>
    </w:p>
    <w:p w14:paraId="7F99C51E" w14:textId="77777777" w:rsidR="00AF390E" w:rsidRPr="007A072D" w:rsidRDefault="00AF390E"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proofErr w:type="gramStart"/>
      <w:r>
        <w:rPr>
          <w:bCs/>
        </w:rPr>
        <w:t>However</w:t>
      </w:r>
      <w:proofErr w:type="gramEnd"/>
      <w:r>
        <w:rPr>
          <w:bCs/>
        </w:rPr>
        <w:t xml:space="preserve">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0DD6EE26" w:rsidR="007A072D" w:rsidRDefault="007A072D" w:rsidP="00B3617C">
      <w:pPr>
        <w:spacing w:after="0" w:line="360" w:lineRule="auto"/>
        <w:rPr>
          <w:bCs/>
        </w:rPr>
      </w:pPr>
    </w:p>
    <w:p w14:paraId="282FBA1E" w14:textId="144EC6C7" w:rsidR="00DD31F1" w:rsidRDefault="00AF390E" w:rsidP="00B3617C">
      <w:pPr>
        <w:spacing w:after="0" w:line="360" w:lineRule="auto"/>
        <w:rPr>
          <w:bCs/>
        </w:rPr>
      </w:pPr>
      <w:r>
        <w:rPr>
          <w:bCs/>
        </w:rPr>
        <w:t xml:space="preserve">It is important to note that transmission from livestock, especially foodborne transmission is multifaceted. </w:t>
      </w:r>
      <w:proofErr w:type="gramStart"/>
      <w:r>
        <w:rPr>
          <w:bCs/>
        </w:rPr>
        <w:t>In particular, imported</w:t>
      </w:r>
      <w:proofErr w:type="gramEnd"/>
      <w:r>
        <w:rPr>
          <w:bCs/>
        </w:rPr>
        <w:t xml:space="preserve"> food products may act as an external </w:t>
      </w:r>
      <w:r w:rsidR="00DD31F1">
        <w:rPr>
          <w:bCs/>
        </w:rPr>
        <w:t xml:space="preserve">transmission pressure of AMR to humans (cite). This has been recognised in studies seeking to understand the </w:t>
      </w:r>
      <w:proofErr w:type="spellStart"/>
      <w:r w:rsidR="00DD31F1">
        <w:rPr>
          <w:bCs/>
        </w:rPr>
        <w:t>atttriubtion</w:t>
      </w:r>
      <w:proofErr w:type="spellEnd"/>
      <w:r w:rsidR="00DD31F1">
        <w:rPr>
          <w:bCs/>
        </w:rPr>
        <w:t xml:space="preserve"> of AMR with food products and </w:t>
      </w:r>
      <w:proofErr w:type="gramStart"/>
      <w:r w:rsidR="00DD31F1">
        <w:rPr>
          <w:bCs/>
        </w:rPr>
        <w:t>non UK</w:t>
      </w:r>
      <w:proofErr w:type="gramEnd"/>
      <w:r w:rsidR="00DD31F1">
        <w:rPr>
          <w:bCs/>
        </w:rPr>
        <w:t xml:space="preserve"> food products often sampled and included in studies, with the influence of imports often overlooked.  EXAMPLES of this – from not just modelling </w:t>
      </w:r>
      <w:proofErr w:type="spellStart"/>
      <w:r w:rsidR="00DD31F1">
        <w:rPr>
          <w:bCs/>
        </w:rPr>
        <w:t>sutides</w:t>
      </w:r>
      <w:proofErr w:type="spellEnd"/>
      <w:r w:rsidR="00DD31F1">
        <w:rPr>
          <w:bCs/>
        </w:rPr>
        <w:t xml:space="preserve"> but epidemiological studies. </w:t>
      </w:r>
    </w:p>
    <w:p w14:paraId="10EA0203" w14:textId="1ED20DB0" w:rsidR="00DD31F1" w:rsidRDefault="00DD31F1" w:rsidP="00B3617C">
      <w:pPr>
        <w:spacing w:after="0" w:line="360" w:lineRule="auto"/>
        <w:rPr>
          <w:bCs/>
        </w:rPr>
      </w:pPr>
    </w:p>
    <w:p w14:paraId="40048067" w14:textId="77777777" w:rsidR="00DD31F1" w:rsidRDefault="00DD31F1" w:rsidP="00DD31F1">
      <w:pPr>
        <w:spacing w:after="0" w:line="360" w:lineRule="auto"/>
        <w:rPr>
          <w:bCs/>
        </w:rPr>
      </w:pPr>
      <w:r>
        <w:rPr>
          <w:bCs/>
        </w:rPr>
        <w:t xml:space="preserve">However, in dynamics epidemiological studies the influence of livestock has often been homogenously included as a single compartment. </w:t>
      </w:r>
      <w:proofErr w:type="spellStart"/>
      <w:r>
        <w:rPr>
          <w:bCs/>
        </w:rPr>
        <w:t>NHowever</w:t>
      </w:r>
      <w:proofErr w:type="spellEnd"/>
      <w:r>
        <w:rPr>
          <w:bCs/>
        </w:rPr>
        <w:t xml:space="preserve">, studies have identified the importance </w:t>
      </w:r>
      <w:r>
        <w:rPr>
          <w:bCs/>
        </w:rPr>
        <w:lastRenderedPageBreak/>
        <w:t xml:space="preserve">of needing to </w:t>
      </w:r>
      <w:proofErr w:type="spellStart"/>
      <w:r>
        <w:rPr>
          <w:bCs/>
        </w:rPr>
        <w:t>excplore</w:t>
      </w:r>
      <w:proofErr w:type="spellEnd"/>
      <w:r>
        <w:rPr>
          <w:bCs/>
        </w:rPr>
        <w:t xml:space="preserve"> the potential impacts of imports on the transmission </w:t>
      </w:r>
      <w:proofErr w:type="spellStart"/>
      <w:r>
        <w:rPr>
          <w:bCs/>
        </w:rPr>
        <w:t>dyanmics</w:t>
      </w:r>
      <w:proofErr w:type="spellEnd"/>
      <w:r>
        <w:rPr>
          <w:bCs/>
        </w:rPr>
        <w:t xml:space="preserve"> of </w:t>
      </w:r>
      <w:proofErr w:type="spellStart"/>
      <w:r>
        <w:rPr>
          <w:bCs/>
        </w:rPr>
        <w:t>foodborene</w:t>
      </w:r>
      <w:proofErr w:type="spellEnd"/>
      <w:r>
        <w:rPr>
          <w:bCs/>
        </w:rPr>
        <w:t xml:space="preserve"> disease and AMR.</w:t>
      </w:r>
    </w:p>
    <w:p w14:paraId="43DEC9DE" w14:textId="77777777" w:rsidR="00AF390E" w:rsidRPr="00B3617C" w:rsidRDefault="00AF390E"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45F76170" w14:textId="19C46F3D" w:rsidR="00DD31F1" w:rsidRDefault="00DD31F1" w:rsidP="00DD31F1">
      <w:pPr>
        <w:spacing w:after="0" w:line="360" w:lineRule="auto"/>
        <w:rPr>
          <w:bCs/>
        </w:rPr>
      </w:pPr>
    </w:p>
    <w:p w14:paraId="1FEC3341" w14:textId="1C4EE817" w:rsidR="00DD31F1" w:rsidRDefault="00DD31F1" w:rsidP="00DD31F1">
      <w:pPr>
        <w:spacing w:after="0" w:line="360" w:lineRule="auto"/>
        <w:rPr>
          <w:bCs/>
        </w:rPr>
      </w:pPr>
      <w:r>
        <w:rPr>
          <w:bCs/>
        </w:rPr>
        <w:t xml:space="preserve">Including this heterogeneity is critical and has been </w:t>
      </w:r>
      <w:proofErr w:type="spellStart"/>
      <w:r>
        <w:rPr>
          <w:bCs/>
        </w:rPr>
        <w:t>recognisied</w:t>
      </w:r>
      <w:proofErr w:type="spellEnd"/>
      <w:r>
        <w:rPr>
          <w:bCs/>
        </w:rPr>
        <w:t xml:space="preserve"> especially in modelling literature where heterogeneity in </w:t>
      </w:r>
      <w:proofErr w:type="spellStart"/>
      <w:r>
        <w:rPr>
          <w:bCs/>
        </w:rPr>
        <w:t>tramsdisison</w:t>
      </w:r>
      <w:proofErr w:type="spellEnd"/>
      <w:r>
        <w:rPr>
          <w:bCs/>
        </w:rPr>
        <w:t xml:space="preserve"> pressure can lead to qualitatively different results and affect interventions including AMR interventions. </w:t>
      </w:r>
    </w:p>
    <w:p w14:paraId="49FAEF48" w14:textId="77777777" w:rsidR="00DD31F1" w:rsidRPr="00DD31F1" w:rsidRDefault="00DD31F1" w:rsidP="00DD31F1">
      <w:pPr>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xml:space="preserve">), livestock food-animals </w:t>
      </w:r>
      <w:r>
        <w:lastRenderedPageBreak/>
        <w:t>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304F4AA" w:rsidR="00EB3501" w:rsidRDefault="00BA13E1" w:rsidP="00604C5B">
      <w:pPr>
        <w:spacing w:after="0" w:line="360" w:lineRule="auto"/>
        <w:jc w:val="both"/>
        <w:rPr>
          <w:bCs/>
        </w:rPr>
      </w:pPr>
      <w:r>
        <w:rPr>
          <w:bCs/>
        </w:rPr>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 xml:space="preserve">to contamination on domestic </w:t>
      </w:r>
      <w:r w:rsidR="00604C5B">
        <w:rPr>
          <w:bCs/>
        </w:rPr>
        <w:lastRenderedPageBreak/>
        <w:t>livestock carcasses (</w:t>
      </w:r>
      <w:r w:rsidR="00604C5B">
        <w:rPr>
          <w:rFonts w:cstheme="minorHAnsi"/>
          <w:bCs/>
        </w:rPr>
        <w:t>η</w:t>
      </w:r>
      <w:r w:rsidR="00604C5B">
        <w:rPr>
          <w:bCs/>
        </w:rPr>
        <w:t xml:space="preserve">). </w:t>
      </w:r>
      <w:r w:rsidR="008922BC" w:rsidRPr="00CA0845">
        <w:rPr>
          <w:bCs/>
        </w:rPr>
        <w:t>This assumptio</w:t>
      </w:r>
      <w:r w:rsidR="008922BC">
        <w:rPr>
          <w:bCs/>
        </w:rPr>
        <w:t>n was made due to the influence of caecum carriage has on carcass contamination following accidental perforation during slaughter</w:t>
      </w:r>
      <w:r w:rsidR="008922BC">
        <w:rPr>
          <w:bCs/>
        </w:rPr>
        <w:t xml:space="preserve"> (</w:t>
      </w:r>
      <w:r w:rsidR="008922BC" w:rsidRPr="008922BC">
        <w:rPr>
          <w:b/>
          <w:highlight w:val="yellow"/>
        </w:rPr>
        <w:t>cite</w:t>
      </w:r>
      <w:r w:rsidR="008922BC">
        <w:rPr>
          <w:bCs/>
        </w:rPr>
        <w:t>)</w:t>
      </w:r>
      <w:r w:rsidR="008922BC">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w:t>
      </w:r>
      <w:r w:rsidR="00542DE8">
        <w:lastRenderedPageBreak/>
        <w:t xml:space="preserve">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r w:rsidR="00A36FF8">
        <w:rPr>
          <w:bCs/>
        </w:rPr>
        <w:t>was</w:t>
      </w:r>
      <w:r w:rsidR="00895554">
        <w:rPr>
          <w:bCs/>
        </w:rPr>
        <w:t xml:space="preserve"> parameterised </w:t>
      </w:r>
      <w:proofErr w:type="gramStart"/>
      <w:r w:rsidR="00895554">
        <w:rPr>
          <w:bCs/>
        </w:rPr>
        <w:t>with regard to</w:t>
      </w:r>
      <w:proofErr w:type="gramEnd"/>
      <w:r w:rsidR="00895554">
        <w:rPr>
          <w:bCs/>
        </w:rPr>
        <w:t xml:space="preserve">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was modelled as ampicillin usage/resistance in fattening pigs.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w:t>
      </w:r>
      <w:r w:rsidR="00A36FF8">
        <w:lastRenderedPageBreak/>
        <w:t xml:space="preserve">that the model was not meant to imply that fattening pigs are the sole source of </w:t>
      </w:r>
      <w:r w:rsidR="00661912">
        <w:t>ampicillin</w:t>
      </w:r>
      <w:r w:rsidR="00A36FF8">
        <w:t xml:space="preserve">-resistant Salmonella 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(EoC)</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r w:rsidR="003743BB" w:rsidRPr="0074647E">
        <w:rPr>
          <w:rFonts w:cstheme="minorHAnsi"/>
          <w:b/>
        </w:rPr>
        <w:t xml:space="preserve">can be found in the </w:t>
      </w:r>
      <w:r w:rsidR="003743BB" w:rsidRPr="0074647E">
        <w:rPr>
          <w:rFonts w:cstheme="minorHAnsi"/>
          <w:b/>
        </w:rPr>
        <w:lastRenderedPageBreak/>
        <w:t>supplementary information for chapter 2</w:t>
      </w:r>
      <w:r w:rsidR="003743BB">
        <w:rPr>
          <w:rFonts w:cstheme="minorHAnsi"/>
        </w:rPr>
        <w:t xml:space="preserve">. Note that due to a lack of accurate country-level antibiotic usage data, sales were assumed to be a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lastRenderedPageBreak/>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 xml:space="preserve">Other model </w:t>
      </w:r>
      <w:r w:rsidR="001B2E3B">
        <w:rPr>
          <w:rFonts w:cstheme="minorHAnsi"/>
        </w:rPr>
        <w:lastRenderedPageBreak/>
        <w:t>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w:t>
      </w:r>
      <w:r w:rsidR="005C3F66">
        <w:rPr>
          <w:bCs/>
        </w:rPr>
        <w:lastRenderedPageBreak/>
        <w:t xml:space="preserve">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w:t>
      </w:r>
      <w:r w:rsidR="00F204E4">
        <w:lastRenderedPageBreak/>
        <w:t xml:space="preserve">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0366ACD4" w14:textId="77777777" w:rsidR="00A95D6B" w:rsidRDefault="00A95D6B" w:rsidP="00D7598E">
      <w:pPr>
        <w:spacing w:after="0" w:line="360" w:lineRule="auto"/>
        <w:rPr>
          <w:b/>
          <w:bCs/>
          <w:noProof/>
          <w:lang w:eastAsia="en-GB"/>
        </w:rPr>
      </w:pPr>
    </w:p>
    <w:p w14:paraId="5872459B" w14:textId="34BFDC11"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were altered,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with the EoC/</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20%)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with the relative share of import being distributed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4D56C8C2" w14:textId="77777777" w:rsidR="005C008A" w:rsidRPr="005C008A" w:rsidRDefault="005C008A" w:rsidP="005C008A">
      <w:pPr>
        <w:spacing w:after="0" w:line="360" w:lineRule="auto"/>
        <w:jc w:val="center"/>
        <w:rPr>
          <w:b/>
          <w:u w:val="single"/>
        </w:rPr>
      </w:pPr>
    </w:p>
    <w:p w14:paraId="4135F96E" w14:textId="77777777" w:rsidR="005C008A" w:rsidRPr="005C008A" w:rsidRDefault="005C008A" w:rsidP="005C008A">
      <w:pPr>
        <w:spacing w:after="0" w:line="360" w:lineRule="auto"/>
        <w:rPr>
          <w:b/>
          <w:bCs/>
        </w:rPr>
      </w:pPr>
      <w:r w:rsidRPr="005C008A">
        <w:rPr>
          <w:b/>
          <w:bCs/>
          <w:highlight w:val="yellow"/>
        </w:rPr>
        <w:t>Talk about the public health implications of the results – can mention throughout</w:t>
      </w:r>
      <w:r>
        <w:rPr>
          <w:b/>
          <w:bCs/>
        </w:rPr>
        <w:t xml:space="preserve"> </w:t>
      </w:r>
    </w:p>
    <w:p w14:paraId="75D2B087" w14:textId="41AA7A70" w:rsidR="005C008A" w:rsidRDefault="005C008A" w:rsidP="005C008A">
      <w:pPr>
        <w:spacing w:after="0" w:line="360" w:lineRule="auto"/>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6AD406F1" w14:textId="2EAAFDDE"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importation from non-domestic sources</w:t>
      </w:r>
      <w:r w:rsidR="00D74B79">
        <w:rPr>
          <w:bCs/>
        </w:rPr>
        <w:t xml:space="preserve"> ()</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was explored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 </w:t>
      </w:r>
      <w:r w:rsidR="00BE6412">
        <w:rPr>
          <w:bCs/>
        </w:rPr>
        <w:t>Expanding the homogen</w:t>
      </w:r>
      <w:r w:rsidR="003636B1">
        <w:rPr>
          <w:bCs/>
        </w:rPr>
        <w:t xml:space="preserve">ous import </w:t>
      </w:r>
      <w:r w:rsidR="00B46C2F">
        <w:rPr>
          <w:bCs/>
        </w:rPr>
        <w:t>model</w:t>
      </w:r>
      <w:r w:rsidR="003636B1">
        <w:rPr>
          <w:bCs/>
        </w:rPr>
        <w:t xml:space="preserve"> to describe heterogeneity in import</w:t>
      </w:r>
      <w:r w:rsidR="00D74B79">
        <w:rPr>
          <w:bCs/>
        </w:rPr>
        <w:t>,</w:t>
      </w:r>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 However, increasing the heterogeneity </w:t>
      </w:r>
      <w:r w:rsidR="00B46C2F">
        <w:rPr>
          <w:bCs/>
        </w:rPr>
        <w:t>in how import was divided across importing countries increased the level of uncertainty in the efficacy of curtailment following changes to</w:t>
      </w:r>
      <w:r w:rsidR="00D74B79">
        <w:rPr>
          <w:bCs/>
        </w:rPr>
        <w:t xml:space="preserve"> import</w:t>
      </w:r>
      <w:r w:rsidR="00B46C2F">
        <w:rPr>
          <w:bCs/>
        </w:rPr>
        <w:t xml:space="preserve">.  </w:t>
      </w:r>
    </w:p>
    <w:p w14:paraId="3BBADB87" w14:textId="77777777" w:rsidR="00B46C2F" w:rsidRDefault="00B46C2F" w:rsidP="000D242E">
      <w:pPr>
        <w:spacing w:after="0" w:line="360" w:lineRule="auto"/>
        <w:rPr>
          <w:bCs/>
        </w:rPr>
      </w:pPr>
    </w:p>
    <w:p w14:paraId="3A216888" w14:textId="1D32AA45"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ACE0355" w:rsidR="00935C63" w:rsidRDefault="00935C63" w:rsidP="000D242E">
      <w:pPr>
        <w:spacing w:after="0" w:line="360" w:lineRule="auto"/>
        <w:rPr>
          <w:bCs/>
        </w:rPr>
      </w:pPr>
    </w:p>
    <w:p w14:paraId="0B3E28D2" w14:textId="2B9269DD"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may disrupt domestic </w:t>
      </w:r>
      <w:r>
        <w:rPr>
          <w:bCs/>
        </w:rPr>
        <w:t xml:space="preserve">AMR </w:t>
      </w:r>
      <w:r w:rsidR="000D4AB7">
        <w:rPr>
          <w:bCs/>
        </w:rPr>
        <w:t xml:space="preserve">interventions such as 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which is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w:t>
      </w:r>
      <w:r w:rsidR="003E0E99">
        <w:rPr>
          <w:bCs/>
        </w:rPr>
        <w:t xml:space="preserve"> increases</w:t>
      </w:r>
      <w:r w:rsidR="0098118E">
        <w:rPr>
          <w:bCs/>
        </w:rPr>
        <w:t xml:space="preserve"> the extent of foodborne disease attributable to imported sources</w:t>
      </w:r>
      <w:r w:rsidR="003E0E99">
        <w:rPr>
          <w:bCs/>
        </w:rPr>
        <w:t xml:space="preserve"> and had a greater effect on </w:t>
      </w:r>
      <w:r w:rsidR="004C3C82">
        <w:rPr>
          <w:bCs/>
        </w:rPr>
        <w:t>disrupt</w:t>
      </w:r>
      <w:r w:rsidR="003E0E99">
        <w:rPr>
          <w:bCs/>
        </w:rPr>
        <w:t>ing</w:t>
      </w:r>
      <w:r w:rsidR="004C3C82">
        <w:rPr>
          <w:bCs/>
        </w:rPr>
        <w:t xml:space="preserve"> the efficacy of local antibiotic </w:t>
      </w:r>
      <w:r w:rsidR="0098118E">
        <w:rPr>
          <w:bCs/>
        </w:rPr>
        <w:t xml:space="preserve">curtailment. </w:t>
      </w:r>
      <w:r w:rsidR="003E0E99">
        <w:rPr>
          <w:bCs/>
        </w:rPr>
        <w:t>I</w:t>
      </w:r>
      <w:r w:rsidR="004C3C82">
        <w:rPr>
          <w:bCs/>
        </w:rPr>
        <w:t>nterestingly, this also applie</w:t>
      </w:r>
      <w:r w:rsidR="004D37AC">
        <w:rPr>
          <w:bCs/>
        </w:rPr>
        <w:t xml:space="preserve">d to more efficacious reductions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w:t>
      </w:r>
      <w:r w:rsidR="004D37AC">
        <w:rPr>
          <w:bCs/>
        </w:rPr>
        <w:lastRenderedPageBreak/>
        <w:t xml:space="preserve">reduces foodborne disease attributable to domestic livestock and similarly disrupts the efficacy of local livestock curtailment. </w:t>
      </w:r>
    </w:p>
    <w:p w14:paraId="3F9C631A" w14:textId="28CD8016" w:rsidR="00496C83" w:rsidRDefault="00496C83" w:rsidP="00DA3796">
      <w:pPr>
        <w:spacing w:after="0" w:line="360" w:lineRule="auto"/>
        <w:jc w:val="both"/>
        <w:rPr>
          <w:bCs/>
        </w:rPr>
      </w:pPr>
    </w:p>
    <w:p w14:paraId="26096BD6" w14:textId="6EB787EF" w:rsidR="00DA3796" w:rsidRDefault="000D4AB7" w:rsidP="00DA3796">
      <w:pPr>
        <w:spacing w:after="0" w:line="360" w:lineRule="auto"/>
        <w:jc w:val="both"/>
        <w:rPr>
          <w:bCs/>
        </w:rPr>
      </w:pPr>
      <w:r>
        <w:rPr>
          <w:bCs/>
        </w:rPr>
        <w:t>The interruption of local disease dynamics through external transmission pressures is a known phenomenon in dynamic modelling literature (</w:t>
      </w:r>
      <w:r w:rsidRPr="000D4AB7">
        <w:rPr>
          <w:b/>
          <w:bCs/>
          <w:highlight w:val="yellow"/>
        </w:rPr>
        <w:t>cite</w:t>
      </w:r>
      <w:r>
        <w:rPr>
          <w:bCs/>
        </w:rPr>
        <w:t>). For example, studies have identified that interaction between sub-populations and spill over of AMR may drastically reduce the efficacy of local curtailment interventions</w:t>
      </w:r>
      <w:r w:rsidR="00496C83">
        <w:rPr>
          <w:bCs/>
        </w:rPr>
        <w:t>,</w:t>
      </w:r>
      <w:r>
        <w:rPr>
          <w:bCs/>
        </w:rPr>
        <w:t xml:space="preserve"> and with meta</w:t>
      </w:r>
      <w:r w:rsidR="004D37AC">
        <w:rPr>
          <w:bCs/>
        </w:rPr>
        <w:t>-</w:t>
      </w:r>
      <w:r>
        <w:rPr>
          <w:bCs/>
        </w:rPr>
        <w:t xml:space="preserve">population models also predicting strain coexistence due to the interaction and maintenance of AMR due to </w:t>
      </w:r>
      <w:r w:rsidR="00DA3796">
        <w:rPr>
          <w:bCs/>
        </w:rPr>
        <w:t xml:space="preserve">subpopulation </w:t>
      </w:r>
      <w:r>
        <w:rPr>
          <w:bCs/>
        </w:rPr>
        <w:t>interaction (</w:t>
      </w:r>
      <w:r w:rsidRPr="000D4AB7">
        <w:rPr>
          <w:b/>
          <w:bCs/>
          <w:highlight w:val="yellow"/>
        </w:rPr>
        <w:t>cite</w:t>
      </w:r>
      <w:r>
        <w:rPr>
          <w:bCs/>
        </w:rPr>
        <w:t>)</w:t>
      </w:r>
      <w:r w:rsidR="00DA3796">
        <w:rPr>
          <w:bCs/>
        </w:rPr>
        <w:t>.</w:t>
      </w:r>
      <w:r w:rsidR="00496C83">
        <w:rPr>
          <w:bCs/>
        </w:rPr>
        <w:t xml:space="preserve"> However, this study places these interactions in the context of antibiotic-resistance in imported foodborne pathogens and the potential interruption of one-health interventions. </w:t>
      </w:r>
    </w:p>
    <w:p w14:paraId="5176F15F" w14:textId="77777777" w:rsidR="00873797" w:rsidRDefault="00873797" w:rsidP="000D242E">
      <w:pPr>
        <w:spacing w:after="0" w:line="360" w:lineRule="auto"/>
        <w:rPr>
          <w:bCs/>
        </w:rPr>
      </w:pPr>
    </w:p>
    <w:p w14:paraId="46AF0569" w14:textId="537BFE1D" w:rsidR="000D242E" w:rsidRDefault="000D242E" w:rsidP="000D242E">
      <w:pPr>
        <w:spacing w:after="0" w:line="360" w:lineRule="auto"/>
        <w:rPr>
          <w:b/>
        </w:rPr>
      </w:pPr>
      <w:r w:rsidRPr="00873797">
        <w:rPr>
          <w:b/>
        </w:rPr>
        <w:t>Talk about the saturation effect</w:t>
      </w:r>
    </w:p>
    <w:p w14:paraId="53A15CD3" w14:textId="32D8EFCE" w:rsidR="00A06BA2" w:rsidRDefault="00A06BA2" w:rsidP="00A06BA2">
      <w:pPr>
        <w:spacing w:after="0" w:line="360" w:lineRule="auto"/>
        <w:rPr>
          <w:bCs/>
        </w:rPr>
      </w:pPr>
    </w:p>
    <w:p w14:paraId="4F26DC64" w14:textId="4999246A" w:rsidR="003E0E99"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outcome measure</w:t>
      </w:r>
      <w:r w:rsidR="007051A5">
        <w:rPr>
          <w:bCs/>
        </w:rPr>
        <w:t xml:space="preserve"> (EoC)</w:t>
      </w:r>
      <w:r>
        <w:rPr>
          <w:bCs/>
        </w:rPr>
        <w:t xml:space="preserve"> was a key result for this study. If a greater amount of importation is desired, then it is objectively better to shift the EoC/</w:t>
      </w:r>
      <w:r>
        <w:rPr>
          <w:rFonts w:cstheme="minorHAnsi"/>
          <w:bCs/>
        </w:rPr>
        <w:t>ψ</w:t>
      </w:r>
      <w:r>
        <w:rPr>
          <w:bCs/>
        </w:rPr>
        <w:t xml:space="preserve"> relationship to an area where EoC remains high for a large range of import values (Figure 5; green area). 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EoC. </w:t>
      </w:r>
      <w:r w:rsidR="007051A5">
        <w:rPr>
          <w:bCs/>
        </w:rPr>
        <w:t xml:space="preserve">This suggests that increasing the extent of UK food products from imported sources may result in a disruption in the efficacy of local livestock curtailment strategies. </w:t>
      </w:r>
      <w:r w:rsidR="003E0E99">
        <w:rPr>
          <w:bCs/>
        </w:rPr>
        <w:t xml:space="preserve">This is problem with clear ramifications for public health policy, with the UK among </w:t>
      </w:r>
      <w:proofErr w:type="gramStart"/>
      <w:r w:rsidR="003E0E99">
        <w:rPr>
          <w:bCs/>
        </w:rPr>
        <w:t>a number of</w:t>
      </w:r>
      <w:proofErr w:type="gramEnd"/>
      <w:r w:rsidR="003E0E99">
        <w:rPr>
          <w:bCs/>
        </w:rPr>
        <w:t xml:space="preserve"> countries seeking to increase the reliance on non-domestic food production. </w:t>
      </w:r>
    </w:p>
    <w:p w14:paraId="1316E3C2" w14:textId="003CC766" w:rsidR="003E0E99" w:rsidRPr="003E0E99" w:rsidRDefault="003E0E99" w:rsidP="003E0E99">
      <w:pPr>
        <w:pStyle w:val="ListParagraph"/>
        <w:numPr>
          <w:ilvl w:val="0"/>
          <w:numId w:val="34"/>
        </w:numPr>
        <w:spacing w:after="0" w:line="360" w:lineRule="auto"/>
        <w:jc w:val="both"/>
        <w:rPr>
          <w:bCs/>
        </w:rPr>
      </w:pPr>
      <w:r>
        <w:rPr>
          <w:bCs/>
        </w:rPr>
        <w:t xml:space="preserve">Focus must be placed on ensuring good biosecurity and surveillance if this is the case. </w:t>
      </w:r>
    </w:p>
    <w:p w14:paraId="6E0074FB" w14:textId="2294B879" w:rsidR="003E0E99" w:rsidRDefault="003E0E99" w:rsidP="007051A5">
      <w:pPr>
        <w:spacing w:after="0" w:line="360" w:lineRule="auto"/>
        <w:jc w:val="both"/>
        <w:rPr>
          <w:bCs/>
        </w:rPr>
      </w:pPr>
    </w:p>
    <w:p w14:paraId="120B9D6A" w14:textId="13605CCF" w:rsidR="00B072CB" w:rsidRDefault="00B16943" w:rsidP="00331CB5">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EoC/</w:t>
      </w:r>
      <w:r>
        <w:rPr>
          <w:rFonts w:cstheme="minorHAnsi"/>
          <w:bCs/>
        </w:rPr>
        <w:t xml:space="preserve">ψ. High levels of domestic food contamination relative to contamination on imports results in a more positive EoC/ψ relationship (Figure X; green area). Conversely, as with the UK case study, </w:t>
      </w:r>
      <w:r w:rsidR="00B072CB">
        <w:rPr>
          <w:bCs/>
        </w:rPr>
        <w:t>EoC/</w:t>
      </w:r>
      <w:r w:rsidR="00B072CB">
        <w:rPr>
          <w:rFonts w:cstheme="minorHAnsi"/>
          <w:bCs/>
        </w:rPr>
        <w:t>ψ relationship sits in a less advantageous area</w:t>
      </w:r>
      <w:r w:rsidR="00D97C0B">
        <w:rPr>
          <w:rFonts w:cstheme="minorHAnsi"/>
          <w:bCs/>
        </w:rPr>
        <w:t xml:space="preserve"> for increasing import ()</w:t>
      </w:r>
      <w:r w:rsidR="00331CB5">
        <w:rPr>
          <w:rFonts w:cstheme="minorHAnsi"/>
          <w:bCs/>
        </w:rPr>
        <w:t>,</w:t>
      </w:r>
      <w:r w:rsidR="00D97C0B">
        <w:rPr>
          <w:rFonts w:cstheme="minorHAnsi"/>
          <w:bCs/>
        </w:rPr>
        <w:t xml:space="preserve"> due to the average level of non-domestic contamination exceeding that of domestic livestock food product contamination (). As an illustrative example, changes to η = … % result in import/domestic contamination being roughly equal resulting in a near linear relationship between EoC/ψ. Further increases to η result in greater levels of domestic contamination relative to import and therefore the EoC remains high for a large range of import values due to the high levels of attributable foodborne disease to domestic sources. </w:t>
      </w:r>
    </w:p>
    <w:p w14:paraId="72D52F2A" w14:textId="6923931E" w:rsidR="00990C85" w:rsidRPr="00990C85" w:rsidRDefault="00990C85" w:rsidP="00990C85">
      <w:pPr>
        <w:pStyle w:val="ListParagraph"/>
        <w:numPr>
          <w:ilvl w:val="0"/>
          <w:numId w:val="33"/>
        </w:numPr>
        <w:spacing w:after="0" w:line="360" w:lineRule="auto"/>
        <w:jc w:val="both"/>
        <w:rPr>
          <w:rFonts w:cstheme="minorHAnsi"/>
          <w:bCs/>
        </w:rPr>
      </w:pPr>
      <w:r w:rsidRPr="00990C85">
        <w:rPr>
          <w:rFonts w:cstheme="minorHAnsi"/>
          <w:bCs/>
        </w:rPr>
        <w:lastRenderedPageBreak/>
        <w:t xml:space="preserve">This </w:t>
      </w:r>
      <w:r>
        <w:rPr>
          <w:rFonts w:cstheme="minorHAnsi"/>
          <w:bCs/>
        </w:rPr>
        <w:t xml:space="preserve">suggests that a case study other than the UK would result in a different relationship – if it had more contamiantion then unintuitively – with the same level of import contamiantion increasing import would </w:t>
      </w:r>
      <w:proofErr w:type="gramStart"/>
      <w:r>
        <w:rPr>
          <w:rFonts w:cstheme="minorHAnsi"/>
          <w:bCs/>
        </w:rPr>
        <w:t>actually be</w:t>
      </w:r>
      <w:proofErr w:type="gramEnd"/>
      <w:r>
        <w:rPr>
          <w:rFonts w:cstheme="minorHAnsi"/>
          <w:bCs/>
        </w:rPr>
        <w:t xml:space="preserve"> better  </w:t>
      </w:r>
    </w:p>
    <w:p w14:paraId="21ABC349" w14:textId="5654A70F" w:rsidR="00275E05" w:rsidRDefault="00275E05" w:rsidP="000D242E">
      <w:pPr>
        <w:spacing w:after="0" w:line="360" w:lineRule="auto"/>
        <w:rPr>
          <w:bCs/>
        </w:rPr>
      </w:pPr>
    </w:p>
    <w:p w14:paraId="255514C7" w14:textId="36BA3D91" w:rsidR="008F614E" w:rsidRDefault="000017CA" w:rsidP="008F614E">
      <w:pPr>
        <w:spacing w:after="0" w:line="360" w:lineRule="auto"/>
        <w:jc w:val="both"/>
        <w:rPr>
          <w:rFonts w:cstheme="minorHAnsi"/>
          <w:bCs/>
        </w:rPr>
      </w:pPr>
      <w:r>
        <w:rPr>
          <w:bCs/>
        </w:rPr>
        <w:t>Interestingly</w:t>
      </w:r>
      <w:r w:rsidR="00331CB5">
        <w:rPr>
          <w:bCs/>
        </w:rPr>
        <w:t>, there is also the existence of a saturation effect with the relationship between EoC/</w:t>
      </w:r>
      <w:r w:rsidR="00331CB5">
        <w:rPr>
          <w:rFonts w:cstheme="minorHAnsi"/>
          <w:bCs/>
        </w:rPr>
        <w:t>ψ. For example, increases in the average level of overall/ampicillin contamination on imports () above baseline values () quickly reaches stabilises at a</w:t>
      </w:r>
      <w:r w:rsidR="008F614E">
        <w:rPr>
          <w:rFonts w:cstheme="minorHAnsi"/>
          <w:bCs/>
        </w:rPr>
        <w:t>n</w:t>
      </w:r>
      <w:r w:rsidR="00331CB5">
        <w:rPr>
          <w:rFonts w:cstheme="minorHAnsi"/>
          <w:bCs/>
        </w:rPr>
        <w:t xml:space="preserve"> EoC/ψ </w:t>
      </w:r>
      <w:r w:rsidR="008F614E">
        <w:rPr>
          <w:rFonts w:cstheme="minorHAnsi"/>
          <w:bCs/>
        </w:rPr>
        <w:t>relationship where the efficacy of curtailment is at its worst possible relationship with increases to import ().</w:t>
      </w:r>
    </w:p>
    <w:p w14:paraId="21D8AF48" w14:textId="5A7EA15B" w:rsidR="003E0E99" w:rsidRPr="003E0E99" w:rsidRDefault="003E0E99" w:rsidP="003E0E99">
      <w:pPr>
        <w:pStyle w:val="ListParagraph"/>
        <w:numPr>
          <w:ilvl w:val="0"/>
          <w:numId w:val="33"/>
        </w:numPr>
        <w:spacing w:after="0" w:line="360" w:lineRule="auto"/>
        <w:jc w:val="both"/>
        <w:rPr>
          <w:rFonts w:cstheme="minorHAnsi"/>
          <w:bCs/>
        </w:rPr>
      </w:pPr>
      <w:r>
        <w:rPr>
          <w:rFonts w:cstheme="minorHAnsi"/>
          <w:bCs/>
        </w:rPr>
        <w:t xml:space="preserve">What does this mean? I am just describing a result here </w:t>
      </w:r>
    </w:p>
    <w:p w14:paraId="5DBEFE68" w14:textId="77F02D7E" w:rsidR="006338E5" w:rsidRDefault="006338E5" w:rsidP="006338E5">
      <w:pPr>
        <w:spacing w:after="0" w:line="360" w:lineRule="auto"/>
        <w:rPr>
          <w:bCs/>
        </w:rPr>
      </w:pPr>
    </w:p>
    <w:p w14:paraId="0332BF71" w14:textId="77777777" w:rsidR="006338E5" w:rsidRDefault="006338E5" w:rsidP="006338E5">
      <w:pPr>
        <w:spacing w:after="0" w:line="360" w:lineRule="auto"/>
        <w:rPr>
          <w:b/>
        </w:rPr>
      </w:pPr>
      <w:r w:rsidRPr="00176C85">
        <w:rPr>
          <w:b/>
        </w:rPr>
        <w:t xml:space="preserve">Talk about the lack of the effect of heterogeneity </w:t>
      </w:r>
    </w:p>
    <w:p w14:paraId="10D419BC" w14:textId="573520C0" w:rsidR="00D74B79" w:rsidRDefault="00D74B79" w:rsidP="006338E5">
      <w:pPr>
        <w:spacing w:after="0" w:line="360" w:lineRule="auto"/>
      </w:pPr>
    </w:p>
    <w:p w14:paraId="02537135" w14:textId="7A0083B0" w:rsidR="006338E5" w:rsidRPr="006338E5" w:rsidRDefault="003E0E99" w:rsidP="007C5F0A">
      <w:pPr>
        <w:spacing w:after="0" w:line="360" w:lineRule="auto"/>
        <w:jc w:val="both"/>
        <w:rPr>
          <w:rFonts w:cstheme="minorHAnsi"/>
          <w:b/>
          <w:bCs/>
        </w:rPr>
      </w:pPr>
      <w:r>
        <w:t xml:space="preserve">Interestingly heterogeneity in the relative share of import had little effect on the average effect of import on contamination. </w:t>
      </w:r>
      <w:r w:rsidR="00AB26D3">
        <w:t xml:space="preserve">This can likely be attributed to sampling distributions doing little to change the underlying average level of contamination and resistance across importing countries – which as suggested in the figures is the primary phenomenom altering this relationship (figure). </w:t>
      </w:r>
      <w:r w:rsidR="007C5F0A">
        <w:t>Instead,</w:t>
      </w:r>
      <w:r w:rsidR="00AB26D3">
        <w:t xml:space="preserve"> this </w:t>
      </w:r>
      <w:r w:rsidR="007C5F0A">
        <w:t>heterogeneity</w:t>
      </w:r>
      <w:r w:rsidR="00AB26D3">
        <w:t xml:space="preserve"> in import sharing affects the variation in response encountered when changing import. This relationship is due to the star-</w:t>
      </w:r>
      <w:r w:rsidR="007C5F0A">
        <w:t>network</w:t>
      </w:r>
      <w:r w:rsidR="00AB26D3">
        <w:t xml:space="preserve"> shape of the model – with human salmonellosis 100% directly reliant on the relationship between fracimp*</w:t>
      </w:r>
      <w:proofErr w:type="spellStart"/>
      <w:r w:rsidR="00AB26D3">
        <w:t>PropResImp</w:t>
      </w:r>
      <w:proofErr w:type="spellEnd"/>
      <w:r w:rsidR="00AB26D3">
        <w:t xml:space="preserve">*Share. We have seen in AMR transmission with more complex non-star network shapes – then heterogeneity may have more of an effect </w:t>
      </w:r>
      <w:r w:rsidR="007C5F0A">
        <w:t>on</w:t>
      </w:r>
      <w:r w:rsidR="00AB26D3">
        <w:t xml:space="preserve"> AMR dynamics. However, it is important to note that this heterogeneity still has clear public health implications, with</w:t>
      </w:r>
      <w:r w:rsidR="007C5F0A">
        <w:t xml:space="preserve"> large </w:t>
      </w:r>
      <w:proofErr w:type="gramStart"/>
      <w:r w:rsidR="007C5F0A">
        <w:t>amount</w:t>
      </w:r>
      <w:proofErr w:type="gramEnd"/>
      <w:r w:rsidR="007C5F0A">
        <w:t xml:space="preserve"> of variations in the Psi/</w:t>
      </w:r>
      <w:proofErr w:type="spellStart"/>
      <w:r w:rsidR="007C5F0A">
        <w:t>Eoc</w:t>
      </w:r>
      <w:proofErr w:type="spellEnd"/>
      <w:r w:rsidR="007C5F0A">
        <w:t xml:space="preserve"> relationship with large amount of variation. I</w:t>
      </w:r>
      <w:r w:rsidR="00AB26D3">
        <w:t>t is</w:t>
      </w:r>
      <w:r w:rsidR="007C5F0A">
        <w:t xml:space="preserve"> therefore</w:t>
      </w:r>
      <w:r w:rsidR="00AB26D3">
        <w:t xml:space="preserve"> critical to identify the level of contamiantion of who you are </w:t>
      </w:r>
      <w:proofErr w:type="gramStart"/>
      <w:r w:rsidR="00AB26D3">
        <w:t>actually importing</w:t>
      </w:r>
      <w:proofErr w:type="gramEnd"/>
      <w:r w:rsidR="00AB26D3">
        <w:t xml:space="preserve"> from (if it is low then no effects), but if it is high then there could be large effects</w:t>
      </w:r>
      <w:r w:rsidR="007C5F0A">
        <w:t xml:space="preserve">. </w:t>
      </w:r>
    </w:p>
    <w:p w14:paraId="417DA740" w14:textId="15F6259B" w:rsidR="006338E5" w:rsidRDefault="006338E5" w:rsidP="008F614E">
      <w:pPr>
        <w:spacing w:after="0" w:line="360" w:lineRule="auto"/>
        <w:jc w:val="both"/>
        <w:rPr>
          <w:rFonts w:cstheme="minorHAnsi"/>
          <w:bCs/>
        </w:rPr>
      </w:pPr>
    </w:p>
    <w:p w14:paraId="723FD521" w14:textId="060E5136" w:rsidR="00A418FB" w:rsidRDefault="00364702" w:rsidP="008F614E">
      <w:pPr>
        <w:spacing w:after="0" w:line="360" w:lineRule="auto"/>
        <w:jc w:val="both"/>
        <w:rPr>
          <w:rFonts w:cstheme="minorHAnsi"/>
          <w:bCs/>
        </w:rPr>
      </w:pPr>
      <w:r>
        <w:rPr>
          <w:rFonts w:cstheme="minorHAnsi"/>
          <w:bCs/>
        </w:rPr>
        <w:t xml:space="preserve">The results of this study have a clear policy implication – that the extent of average overall/ampicillin-resistant </w:t>
      </w:r>
      <w:r w:rsidRPr="00D20281">
        <w:rPr>
          <w:rFonts w:cstheme="minorHAnsi"/>
          <w:bCs/>
          <w:i/>
        </w:rPr>
        <w:t>Salmonella</w:t>
      </w:r>
      <w:r>
        <w:rPr>
          <w:rFonts w:cstheme="minorHAnsi"/>
          <w:bCs/>
        </w:rPr>
        <w:t xml:space="preserve"> spp. </w:t>
      </w:r>
      <w:r w:rsidR="00D20281">
        <w:rPr>
          <w:rFonts w:cstheme="minorHAnsi"/>
          <w:bCs/>
        </w:rPr>
        <w:t>contamination</w:t>
      </w:r>
      <w:r>
        <w:rPr>
          <w:rFonts w:cstheme="minorHAnsi"/>
          <w:bCs/>
        </w:rPr>
        <w:t xml:space="preserve"> </w:t>
      </w:r>
      <w:r w:rsidR="00D20281">
        <w:rPr>
          <w:rFonts w:cstheme="minorHAnsi"/>
          <w:bCs/>
        </w:rPr>
        <w:t xml:space="preserve">should be </w:t>
      </w:r>
      <w:r>
        <w:rPr>
          <w:rFonts w:cstheme="minorHAnsi"/>
          <w:bCs/>
        </w:rPr>
        <w:t>decreased as lo</w:t>
      </w:r>
      <w:r w:rsidR="00D20281">
        <w:rPr>
          <w:rFonts w:cstheme="minorHAnsi"/>
          <w:bCs/>
        </w:rPr>
        <w:t>w as possible if changes to</w:t>
      </w:r>
      <w:r>
        <w:rPr>
          <w:rFonts w:cstheme="minorHAnsi"/>
          <w:bCs/>
        </w:rPr>
        <w:t xml:space="preserve"> </w:t>
      </w:r>
      <w:r w:rsidR="00A35E99">
        <w:rPr>
          <w:rFonts w:cstheme="minorHAnsi"/>
          <w:bCs/>
        </w:rPr>
        <w:t xml:space="preserve">the extent of </w:t>
      </w:r>
      <w:r>
        <w:rPr>
          <w:rFonts w:cstheme="minorHAnsi"/>
          <w:bCs/>
        </w:rPr>
        <w:t xml:space="preserve">importation are </w:t>
      </w:r>
      <w:r w:rsidR="00D20281">
        <w:rPr>
          <w:rFonts w:cstheme="minorHAnsi"/>
          <w:bCs/>
        </w:rPr>
        <w:t>desired</w:t>
      </w:r>
      <w:r>
        <w:rPr>
          <w:rFonts w:cstheme="minorHAnsi"/>
          <w:bCs/>
        </w:rPr>
        <w:t xml:space="preserve">. Or at the very least, reducing </w:t>
      </w:r>
      <w:r w:rsidR="00D20281">
        <w:rPr>
          <w:rFonts w:cstheme="minorHAnsi"/>
          <w:bCs/>
        </w:rPr>
        <w:t>contamination</w:t>
      </w:r>
      <w:r>
        <w:rPr>
          <w:rFonts w:cstheme="minorHAnsi"/>
          <w:bCs/>
        </w:rPr>
        <w:t xml:space="preserve"> to a</w:t>
      </w:r>
      <w:r w:rsidR="00D20281">
        <w:rPr>
          <w:rFonts w:cstheme="minorHAnsi"/>
          <w:bCs/>
        </w:rPr>
        <w:t>n</w:t>
      </w:r>
      <w:r>
        <w:rPr>
          <w:rFonts w:cstheme="minorHAnsi"/>
          <w:bCs/>
        </w:rPr>
        <w:t xml:space="preserve"> </w:t>
      </w:r>
      <w:r w:rsidR="00A35E99">
        <w:rPr>
          <w:rFonts w:cstheme="minorHAnsi"/>
          <w:bCs/>
        </w:rPr>
        <w:t>equal</w:t>
      </w:r>
      <w:r>
        <w:rPr>
          <w:rFonts w:cstheme="minorHAnsi"/>
          <w:bCs/>
        </w:rPr>
        <w:t xml:space="preserve"> level seen on domestic fo</w:t>
      </w:r>
      <w:r w:rsidR="00A35E99">
        <w:rPr>
          <w:rFonts w:cstheme="minorHAnsi"/>
          <w:bCs/>
        </w:rPr>
        <w:t xml:space="preserve">od products to </w:t>
      </w:r>
      <w:r w:rsidR="00D20281">
        <w:rPr>
          <w:rFonts w:cstheme="minorHAnsi"/>
          <w:bCs/>
        </w:rPr>
        <w:t>preserve</w:t>
      </w:r>
      <w:r>
        <w:rPr>
          <w:rFonts w:cstheme="minorHAnsi"/>
          <w:bCs/>
        </w:rPr>
        <w:t xml:space="preserve"> the efficacy of curtailment of local livestock antibiotic stewardship on human health.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also within domestic livestock (</w:t>
      </w:r>
      <w:r w:rsidR="00C42765" w:rsidRPr="00C42765">
        <w:rPr>
          <w:rFonts w:cstheme="minorHAnsi"/>
          <w:b/>
          <w:bCs/>
          <w:highlight w:val="yellow"/>
        </w:rPr>
        <w:t>cite</w:t>
      </w:r>
      <w:r w:rsidR="00C42765">
        <w:rPr>
          <w:rFonts w:cstheme="minorHAnsi"/>
          <w:bCs/>
        </w:rPr>
        <w:t xml:space="preserve">). </w:t>
      </w:r>
    </w:p>
    <w:p w14:paraId="172ED4D2" w14:textId="7C9E3A91" w:rsidR="00357800" w:rsidRDefault="00C42765" w:rsidP="008F614E">
      <w:pPr>
        <w:spacing w:after="0" w:line="360" w:lineRule="auto"/>
        <w:jc w:val="both"/>
        <w:rPr>
          <w:rFonts w:cstheme="minorHAnsi"/>
          <w:bCs/>
        </w:rPr>
      </w:pPr>
      <w:r>
        <w:rPr>
          <w:rFonts w:cstheme="minorHAnsi"/>
          <w:bCs/>
        </w:rPr>
        <w:lastRenderedPageBreak/>
        <w:t xml:space="preserve">Examples of surveillance </w:t>
      </w:r>
      <w:r w:rsidR="00922946">
        <w:rPr>
          <w:rFonts w:cstheme="minorHAnsi"/>
          <w:bCs/>
        </w:rPr>
        <w:t xml:space="preserve">(and interventions to reduce contamination) </w:t>
      </w:r>
      <w:r>
        <w:rPr>
          <w:rFonts w:cstheme="minorHAnsi"/>
          <w:bCs/>
        </w:rPr>
        <w:t xml:space="preserve">at the point of origin include EU </w:t>
      </w:r>
      <w:r w:rsidR="00B23F67">
        <w:rPr>
          <w:rFonts w:cstheme="minorHAnsi"/>
          <w:bCs/>
        </w:rPr>
        <w:t>requirements for so-called “third-country” importing organisations not within the EU framework to meet EU food safety requirements and submit to inspection by FVO officers</w:t>
      </w:r>
      <w:r w:rsidR="00BD7B5D">
        <w:rPr>
          <w:rFonts w:cstheme="minorHAnsi"/>
          <w:bCs/>
        </w:rPr>
        <w:t xml:space="preserve"> (</w:t>
      </w:r>
      <w:hyperlink r:id="rId16" w:history="1">
        <w:r w:rsidR="00BD7B5D">
          <w:rPr>
            <w:rStyle w:val="Hyperlink"/>
          </w:rPr>
          <w:t>Third country approval guidelines (europa.eu)</w:t>
        </w:r>
      </w:hyperlink>
      <w:r w:rsidR="00BD7B5D">
        <w:rPr>
          <w:rFonts w:cstheme="minorHAnsi"/>
          <w:bCs/>
        </w:rPr>
        <w:t>)</w:t>
      </w:r>
      <w:r w:rsidR="0040052C">
        <w:rPr>
          <w:rFonts w:cstheme="minorHAnsi"/>
          <w:bCs/>
        </w:rPr>
        <w:t xml:space="preserve"> (</w:t>
      </w:r>
      <w:r w:rsidR="0040052C" w:rsidRPr="00C42765">
        <w:rPr>
          <w:rFonts w:cstheme="minorHAnsi"/>
          <w:b/>
          <w:bCs/>
          <w:highlight w:val="yellow"/>
        </w:rPr>
        <w:t>cite</w:t>
      </w:r>
      <w:r w:rsidR="0040052C">
        <w:rPr>
          <w:rFonts w:cstheme="minorHAnsi"/>
          <w:bCs/>
        </w:rPr>
        <w:t>)</w:t>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657853">
        <w:rPr>
          <w:rFonts w:cstheme="minorHAnsi"/>
          <w:bCs/>
        </w:rPr>
        <w:t xml:space="preserve"> (</w:t>
      </w:r>
      <w:r w:rsidR="00657853" w:rsidRPr="00C42765">
        <w:rPr>
          <w:rFonts w:cstheme="minorHAnsi"/>
          <w:b/>
          <w:bCs/>
          <w:highlight w:val="yellow"/>
        </w:rPr>
        <w:t>cite</w:t>
      </w:r>
      <w:r w:rsidR="00657853">
        <w:rPr>
          <w:rFonts w:cstheme="minorHAnsi"/>
          <w:bCs/>
        </w:rPr>
        <w:t>)</w:t>
      </w:r>
      <w:r w:rsidR="00A233DB">
        <w:rPr>
          <w:rFonts w:cstheme="minorHAnsi"/>
          <w:bCs/>
        </w:rPr>
        <w:t xml:space="preserve">. </w:t>
      </w:r>
      <w:r w:rsidR="000E2ED6">
        <w:rPr>
          <w:rFonts w:cstheme="minorHAnsi"/>
          <w:bCs/>
        </w:rPr>
        <w:t xml:space="preserve">Harmonised systems such as the RASFF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C03FAA">
        <w:rPr>
          <w:rFonts w:cstheme="minorHAnsi"/>
          <w:bCs/>
        </w:rPr>
        <w:t xml:space="preserve"> (</w:t>
      </w:r>
      <w:r w:rsidR="00C03FAA" w:rsidRPr="00357800">
        <w:rPr>
          <w:rFonts w:cstheme="minorHAnsi"/>
          <w:b/>
          <w:bCs/>
          <w:highlight w:val="yellow"/>
        </w:rPr>
        <w:t>cite</w:t>
      </w:r>
      <w:r w:rsidR="00C03FAA">
        <w:rPr>
          <w:rFonts w:cstheme="minorHAnsi"/>
          <w:bCs/>
        </w:rPr>
        <w:t>)</w:t>
      </w:r>
      <w:r w:rsidR="00357800">
        <w:rPr>
          <w:rFonts w:cstheme="minorHAnsi"/>
          <w:bCs/>
        </w:rPr>
        <w:t>. Policy to reduce import contamination can also be introduced at a macro-scale, controlling which countries to form import based trade connections with based on the extent of contamination on food products</w:t>
      </w:r>
      <w:r w:rsidR="00C03FAA">
        <w:rPr>
          <w:rFonts w:cstheme="minorHAnsi"/>
          <w:bCs/>
        </w:rPr>
        <w:t xml:space="preserve"> (</w:t>
      </w:r>
      <w:r w:rsidR="00C03FAA" w:rsidRPr="00357800">
        <w:rPr>
          <w:rFonts w:cstheme="minorHAnsi"/>
          <w:b/>
          <w:bCs/>
          <w:highlight w:val="yellow"/>
        </w:rPr>
        <w:t>cite</w:t>
      </w:r>
      <w:r w:rsidR="00C03FAA">
        <w:rPr>
          <w:rFonts w:cstheme="minorHAnsi"/>
          <w:bCs/>
        </w:rPr>
        <w:t>)</w:t>
      </w:r>
      <w:r w:rsidR="00357800">
        <w:rPr>
          <w:rFonts w:cstheme="minorHAnsi"/>
          <w:bCs/>
        </w:rPr>
        <w:t>. The clearest example of this includes EU differentiation of food product “trade” between member states and “imports/introductions” from non-member state “third countries” with a higher amount of regulation and inspection placed on trade from the latter (</w:t>
      </w:r>
      <w:r w:rsidR="00357800" w:rsidRPr="00357800">
        <w:rPr>
          <w:rFonts w:cstheme="minorHAnsi"/>
          <w:b/>
          <w:bCs/>
          <w:highlight w:val="yellow"/>
        </w:rPr>
        <w:t>cite</w:t>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can be kept at low levels to avoid potential decreases to the efficacy of curtailment following changes in food importation. </w:t>
      </w:r>
    </w:p>
    <w:p w14:paraId="0BE057CC" w14:textId="77777777" w:rsidR="0075259D" w:rsidRPr="00666796" w:rsidRDefault="0075259D" w:rsidP="0075259D">
      <w:pPr>
        <w:pStyle w:val="ListParagraph"/>
        <w:numPr>
          <w:ilvl w:val="0"/>
          <w:numId w:val="32"/>
        </w:numPr>
        <w:spacing w:after="0" w:line="360" w:lineRule="auto"/>
        <w:jc w:val="both"/>
        <w:rPr>
          <w:rFonts w:cstheme="minorHAnsi"/>
          <w:bCs/>
        </w:rPr>
      </w:pPr>
      <w:r>
        <w:rPr>
          <w:rFonts w:cstheme="minorHAnsi"/>
          <w:bCs/>
        </w:rPr>
        <w:t>Maybe relate this more to the study – how this will push down contamination or help us better understand the balance between imported and domestic contaminants</w:t>
      </w:r>
    </w:p>
    <w:p w14:paraId="7F99F898" w14:textId="2A0D4B31" w:rsidR="00357800" w:rsidRDefault="00357800" w:rsidP="008F614E">
      <w:pPr>
        <w:spacing w:after="0" w:line="360" w:lineRule="auto"/>
        <w:jc w:val="both"/>
        <w:rPr>
          <w:rFonts w:cstheme="minorHAnsi"/>
          <w:bCs/>
        </w:rPr>
      </w:pPr>
    </w:p>
    <w:p w14:paraId="3FCF2E1D" w14:textId="1866F7E7" w:rsidR="00D14A82" w:rsidRDefault="00E97BF8" w:rsidP="0075259D">
      <w:pPr>
        <w:spacing w:after="0" w:line="360" w:lineRule="auto"/>
        <w:jc w:val="both"/>
        <w:rPr>
          <w:rFonts w:cstheme="minorHAnsi"/>
          <w:bCs/>
        </w:rPr>
      </w:pPr>
      <w:r w:rsidRPr="00966102">
        <w:rPr>
          <w:rFonts w:cstheme="minorHAnsi"/>
          <w:bCs/>
        </w:rPr>
        <w:t xml:space="preserve">However, there are limitations with current </w:t>
      </w:r>
      <w:r w:rsidR="00DE4153" w:rsidRPr="00966102">
        <w:rPr>
          <w:rFonts w:cstheme="minorHAnsi"/>
          <w:bCs/>
        </w:rPr>
        <w:t xml:space="preserve">surveillance. </w:t>
      </w:r>
      <w:r w:rsidR="00966102" w:rsidRPr="00966102">
        <w:rPr>
          <w:rFonts w:cstheme="minorHAnsi"/>
          <w:bCs/>
        </w:rPr>
        <w:t>For example</w:t>
      </w:r>
      <w:r w:rsidR="00922946">
        <w:rPr>
          <w:rFonts w:cstheme="minorHAnsi"/>
          <w:bCs/>
        </w:rPr>
        <w:t>,</w:t>
      </w:r>
      <w:r w:rsidR="00966102" w:rsidRPr="00966102">
        <w:rPr>
          <w:rFonts w:cstheme="minorHAnsi"/>
          <w:bCs/>
        </w:rPr>
        <w:t xml:space="preserve"> surveillance on AMR in livestock and food products is limited</w:t>
      </w:r>
      <w:r w:rsidR="00605F40">
        <w:rPr>
          <w:rFonts w:cstheme="minorHAnsi"/>
          <w:bCs/>
        </w:rPr>
        <w:t xml:space="preserve"> outside of the EU</w:t>
      </w:r>
      <w:r w:rsidR="00966102" w:rsidRPr="00966102">
        <w:rPr>
          <w:rFonts w:cstheme="minorHAnsi"/>
          <w:bCs/>
        </w:rPr>
        <w:t>,</w:t>
      </w:r>
      <w:r w:rsidR="0075259D">
        <w:rPr>
          <w:rFonts w:cstheme="minorHAnsi"/>
          <w:bCs/>
        </w:rPr>
        <w:t xml:space="preserve"> </w:t>
      </w:r>
      <w:r w:rsidR="0075259D">
        <w:rPr>
          <w:rFonts w:cstheme="minorHAnsi"/>
          <w:bCs/>
        </w:rPr>
        <w:t xml:space="preserve">with a lack of high quality, harmonised </w:t>
      </w:r>
      <w:r w:rsidR="00FF5A67">
        <w:rPr>
          <w:rFonts w:cstheme="minorHAnsi"/>
          <w:bCs/>
        </w:rPr>
        <w:t xml:space="preserve">farm-to-fork AMR </w:t>
      </w:r>
      <w:r w:rsidR="0075259D">
        <w:rPr>
          <w:rFonts w:cstheme="minorHAnsi"/>
          <w:bCs/>
        </w:rPr>
        <w:t>surveillance</w:t>
      </w:r>
      <w:r w:rsidR="00605F40">
        <w:rPr>
          <w:rFonts w:cstheme="minorHAnsi"/>
          <w:bCs/>
        </w:rPr>
        <w:t xml:space="preserve"> systems</w:t>
      </w:r>
      <w:r w:rsidR="0075259D">
        <w:rPr>
          <w:rFonts w:cstheme="minorHAnsi"/>
          <w:bCs/>
        </w:rPr>
        <w:t>.</w:t>
      </w:r>
      <w:r w:rsidR="00605F40">
        <w:rPr>
          <w:rFonts w:cstheme="minorHAnsi"/>
          <w:bCs/>
        </w:rPr>
        <w:t xml:space="preserve"> This is </w:t>
      </w:r>
      <w:r w:rsidR="0001342B">
        <w:rPr>
          <w:rFonts w:cstheme="minorHAnsi"/>
          <w:bCs/>
        </w:rPr>
        <w:t>relevant</w:t>
      </w:r>
      <w:r w:rsidR="00605F40">
        <w:rPr>
          <w:rFonts w:cstheme="minorHAnsi"/>
          <w:bCs/>
        </w:rPr>
        <w:t xml:space="preserve"> given the importance </w:t>
      </w:r>
      <w:r w:rsidR="00966102" w:rsidRPr="00966102">
        <w:rPr>
          <w:rFonts w:cstheme="minorHAnsi"/>
          <w:bCs/>
        </w:rPr>
        <w:t xml:space="preserve">of </w:t>
      </w:r>
      <w:r w:rsidR="00DE4153" w:rsidRPr="00966102">
        <w:rPr>
          <w:rFonts w:cstheme="minorHAnsi"/>
          <w:bCs/>
        </w:rPr>
        <w:t xml:space="preserve">antibiotic-resistant </w:t>
      </w:r>
      <w:r w:rsidR="00DE4153" w:rsidRPr="00966102">
        <w:rPr>
          <w:rFonts w:cstheme="minorHAnsi"/>
          <w:bCs/>
          <w:i/>
        </w:rPr>
        <w:t>Salmonella</w:t>
      </w:r>
      <w:r w:rsidR="00DE4153" w:rsidRPr="00966102">
        <w:rPr>
          <w:rFonts w:cstheme="minorHAnsi"/>
          <w:bCs/>
        </w:rPr>
        <w:t xml:space="preserve"> spp. </w:t>
      </w:r>
      <w:r w:rsidR="00C03FAA" w:rsidRPr="00966102">
        <w:rPr>
          <w:rFonts w:cstheme="minorHAnsi"/>
          <w:bCs/>
        </w:rPr>
        <w:t>contamination</w:t>
      </w:r>
      <w:r w:rsidR="00DE4153" w:rsidRPr="00966102">
        <w:rPr>
          <w:rFonts w:cstheme="minorHAnsi"/>
          <w:bCs/>
        </w:rPr>
        <w:t xml:space="preserve"> </w:t>
      </w:r>
      <w:r w:rsidR="00605F40">
        <w:rPr>
          <w:rFonts w:cstheme="minorHAnsi"/>
          <w:bCs/>
        </w:rPr>
        <w:t xml:space="preserve">on the efficacy of curtailment </w:t>
      </w:r>
      <w:r w:rsidR="00922946">
        <w:rPr>
          <w:rFonts w:cstheme="minorHAnsi"/>
          <w:bCs/>
        </w:rPr>
        <w:t>(</w:t>
      </w:r>
      <w:hyperlink r:id="rId17" w:history="1">
        <w:r w:rsidR="00922946">
          <w:rPr>
            <w:rStyle w:val="Hyperlink"/>
          </w:rPr>
          <w:t>FDA Strategy for the Safety of Imported Food</w:t>
        </w:r>
      </w:hyperlink>
      <w:r w:rsidR="00922946">
        <w:rPr>
          <w:rFonts w:cstheme="minorHAnsi"/>
          <w:bCs/>
        </w:rPr>
        <w:t>)</w:t>
      </w:r>
      <w:r w:rsidR="0040052C">
        <w:rPr>
          <w:rFonts w:cstheme="minorHAnsi"/>
          <w:bCs/>
        </w:rPr>
        <w:t xml:space="preserve"> (</w:t>
      </w:r>
      <w:r w:rsidR="0040052C" w:rsidRPr="00C42765">
        <w:rPr>
          <w:rFonts w:cstheme="minorHAnsi"/>
          <w:b/>
          <w:bCs/>
          <w:highlight w:val="yellow"/>
        </w:rPr>
        <w:t>cite</w:t>
      </w:r>
      <w:r w:rsidR="0040052C">
        <w:rPr>
          <w:rFonts w:cstheme="minorHAnsi"/>
          <w:bCs/>
        </w:rPr>
        <w:t>)</w:t>
      </w:r>
      <w:r w:rsidR="00922946">
        <w:rPr>
          <w:rFonts w:cstheme="minorHAnsi"/>
          <w:bCs/>
        </w:rPr>
        <w:t>.</w:t>
      </w:r>
      <w:r w:rsidR="00C03FAA" w:rsidRPr="00966102">
        <w:rPr>
          <w:rFonts w:cstheme="minorHAnsi"/>
          <w:bCs/>
        </w:rPr>
        <w:t xml:space="preserve"> </w:t>
      </w:r>
      <w:r w:rsidR="00966102" w:rsidRPr="00966102">
        <w:rPr>
          <w:rFonts w:cstheme="minorHAnsi"/>
          <w:bCs/>
        </w:rPr>
        <w:t>Additionally, BCP checks are often limited to occasional physical checks,</w:t>
      </w:r>
      <w:r w:rsidR="00FF5A67">
        <w:rPr>
          <w:rFonts w:cstheme="minorHAnsi"/>
          <w:bCs/>
        </w:rPr>
        <w:t xml:space="preserve"> which may limit the surveillance of AMR/contamination,</w:t>
      </w:r>
      <w:r w:rsidR="00966102" w:rsidRPr="00966102">
        <w:rPr>
          <w:rFonts w:cstheme="minorHAnsi"/>
          <w:bCs/>
        </w:rPr>
        <w:t xml:space="preserve"> with a compromise between ensuring rapid transit into the importing country and the use labour intensive</w:t>
      </w:r>
      <w:r w:rsidR="00605F40">
        <w:rPr>
          <w:rFonts w:cstheme="minorHAnsi"/>
          <w:bCs/>
        </w:rPr>
        <w:t>/</w:t>
      </w:r>
      <w:r w:rsidR="00966102" w:rsidRPr="00966102">
        <w:rPr>
          <w:rFonts w:cstheme="minorHAnsi"/>
          <w:bCs/>
        </w:rPr>
        <w:t xml:space="preserve">costly </w:t>
      </w:r>
      <w:r w:rsidR="00D14A82">
        <w:rPr>
          <w:rFonts w:cstheme="minorHAnsi"/>
          <w:bCs/>
        </w:rPr>
        <w:t xml:space="preserve">microbiological </w:t>
      </w:r>
      <w:r w:rsidR="00605F40">
        <w:rPr>
          <w:rFonts w:cstheme="minorHAnsi"/>
          <w:bCs/>
        </w:rPr>
        <w:t>t</w:t>
      </w:r>
      <w:r w:rsidR="00966102">
        <w:rPr>
          <w:rFonts w:cstheme="minorHAnsi"/>
          <w:bCs/>
        </w:rPr>
        <w:t xml:space="preserve">esting </w:t>
      </w:r>
      <w:r w:rsidR="0040052C">
        <w:rPr>
          <w:rFonts w:cstheme="minorHAnsi"/>
          <w:bCs/>
        </w:rPr>
        <w:t>(</w:t>
      </w:r>
      <w:r w:rsidR="0040052C" w:rsidRPr="00C42765">
        <w:rPr>
          <w:rFonts w:cstheme="minorHAnsi"/>
          <w:b/>
          <w:bCs/>
          <w:highlight w:val="yellow"/>
        </w:rPr>
        <w:t>cite</w:t>
      </w:r>
      <w:r w:rsidR="0040052C">
        <w:rPr>
          <w:rFonts w:cstheme="minorHAnsi"/>
          <w:bCs/>
        </w:rPr>
        <w:t>)</w:t>
      </w:r>
      <w:r w:rsidR="00966102">
        <w:rPr>
          <w:rFonts w:cstheme="minorHAnsi"/>
          <w:bCs/>
        </w:rPr>
        <w:t xml:space="preserve">. </w:t>
      </w:r>
      <w:r w:rsidR="0001342B">
        <w:rPr>
          <w:rFonts w:cstheme="minorHAnsi"/>
          <w:bCs/>
        </w:rPr>
        <w:t>While it is unfair to expect rapid WGS to provide “</w:t>
      </w:r>
      <w:r w:rsidR="00D14A82">
        <w:rPr>
          <w:rFonts w:cstheme="minorHAnsi"/>
          <w:bCs/>
        </w:rPr>
        <w:t xml:space="preserve">on-the-spot” identification of microbiological contamination </w:t>
      </w:r>
      <w:r w:rsidR="0001342B">
        <w:rPr>
          <w:rFonts w:cstheme="minorHAnsi"/>
          <w:bCs/>
        </w:rPr>
        <w:t>on imports</w:t>
      </w:r>
      <w:r w:rsidR="00D14A82">
        <w:rPr>
          <w:rFonts w:cstheme="minorHAnsi"/>
          <w:bCs/>
        </w:rPr>
        <w:t>,</w:t>
      </w:r>
      <w:r w:rsidR="0001342B">
        <w:rPr>
          <w:rFonts w:cstheme="minorHAnsi"/>
          <w:bCs/>
        </w:rPr>
        <w:t xml:space="preserve"> </w:t>
      </w:r>
      <w:r w:rsidR="00FF5A67">
        <w:rPr>
          <w:rFonts w:cstheme="minorHAnsi"/>
          <w:bCs/>
        </w:rPr>
        <w:t xml:space="preserve">expansion of import sampling at BCPs for retroactive sequencing and analysis could provide a rich vein </w:t>
      </w:r>
      <w:r w:rsidR="00D14A82">
        <w:rPr>
          <w:rFonts w:cstheme="minorHAnsi"/>
          <w:bCs/>
        </w:rPr>
        <w:t>for AMR surveillance</w:t>
      </w:r>
      <w:r w:rsidR="00FF5A67">
        <w:rPr>
          <w:rFonts w:cstheme="minorHAnsi"/>
          <w:bCs/>
        </w:rPr>
        <w:t xml:space="preserve"> (</w:t>
      </w:r>
      <w:hyperlink r:id="rId18" w:history="1">
        <w:r w:rsidR="00FF5A67">
          <w:rPr>
            <w:rStyle w:val="Hyperlink"/>
          </w:rPr>
          <w:t>implementing_pathogen_genomics_a_case_study.pdf (publishing.service.gov.uk)</w:t>
        </w:r>
      </w:hyperlink>
      <w:r w:rsidR="00FF5A67">
        <w:t>)</w:t>
      </w:r>
      <w:r w:rsidR="00D14A82">
        <w:rPr>
          <w:rFonts w:cstheme="minorHAnsi"/>
          <w:bCs/>
        </w:rPr>
        <w:t xml:space="preserve">. </w:t>
      </w:r>
      <w:r w:rsidR="00FF5A67">
        <w:rPr>
          <w:rFonts w:cstheme="minorHAnsi"/>
          <w:bCs/>
        </w:rPr>
        <w:t xml:space="preserve">Use of WGS data for COVID-19 phylodynamic modelling, identification of AMR </w:t>
      </w:r>
      <w:r w:rsidR="002D131E">
        <w:rPr>
          <w:rFonts w:cstheme="minorHAnsi"/>
          <w:bCs/>
        </w:rPr>
        <w:t>transmission events and for source attribution</w:t>
      </w:r>
      <w:r w:rsidR="00FF5A67">
        <w:rPr>
          <w:rFonts w:cstheme="minorHAnsi"/>
          <w:bCs/>
        </w:rPr>
        <w:t xml:space="preserve"> in previous </w:t>
      </w:r>
      <w:r w:rsidR="002D131E">
        <w:rPr>
          <w:rFonts w:cstheme="minorHAnsi"/>
          <w:bCs/>
        </w:rPr>
        <w:t>analyses</w:t>
      </w:r>
      <w:r w:rsidR="00FF5A67">
        <w:rPr>
          <w:rFonts w:cstheme="minorHAnsi"/>
          <w:bCs/>
        </w:rPr>
        <w:t xml:space="preserve"> have identified the power of this information to assess </w:t>
      </w:r>
      <w:r w:rsidR="002D131E">
        <w:rPr>
          <w:rFonts w:cstheme="minorHAnsi"/>
          <w:bCs/>
        </w:rPr>
        <w:t>pathogen</w:t>
      </w:r>
      <w:r w:rsidR="00FF5A67">
        <w:rPr>
          <w:rFonts w:cstheme="minorHAnsi"/>
          <w:bCs/>
        </w:rPr>
        <w:t xml:space="preserve"> dynamics and potentially inform future AMR modelling studies</w:t>
      </w:r>
      <w:r w:rsidR="002D131E">
        <w:rPr>
          <w:rFonts w:cstheme="minorHAnsi"/>
          <w:bCs/>
        </w:rPr>
        <w:t xml:space="preserve"> </w:t>
      </w:r>
      <w:r w:rsidR="002D131E">
        <w:rPr>
          <w:rFonts w:cstheme="minorHAnsi"/>
          <w:bCs/>
        </w:rPr>
        <w:t>(</w:t>
      </w:r>
      <w:r w:rsidR="002D131E" w:rsidRPr="00C42765">
        <w:rPr>
          <w:rFonts w:cstheme="minorHAnsi"/>
          <w:b/>
          <w:bCs/>
          <w:highlight w:val="yellow"/>
        </w:rPr>
        <w:t>cite</w:t>
      </w:r>
      <w:r w:rsidR="002D131E">
        <w:rPr>
          <w:rFonts w:cstheme="minorHAnsi"/>
          <w:bCs/>
        </w:rPr>
        <w:t>)</w:t>
      </w:r>
      <w:r w:rsidR="00FF5A67">
        <w:rPr>
          <w:rFonts w:cstheme="minorHAnsi"/>
          <w:bCs/>
        </w:rPr>
        <w:t xml:space="preserve">. </w:t>
      </w:r>
    </w:p>
    <w:p w14:paraId="414117C8" w14:textId="77777777" w:rsidR="007B78CA" w:rsidRDefault="007B78CA" w:rsidP="0075259D">
      <w:pPr>
        <w:spacing w:after="0" w:line="360" w:lineRule="auto"/>
        <w:jc w:val="both"/>
        <w:rPr>
          <w:rFonts w:cstheme="minorHAnsi"/>
          <w:bCs/>
        </w:rPr>
      </w:pPr>
    </w:p>
    <w:p w14:paraId="1DEF73D5" w14:textId="188036C6" w:rsidR="00D51170" w:rsidRDefault="00D51170" w:rsidP="00D51170">
      <w:pPr>
        <w:spacing w:after="0" w:line="360" w:lineRule="auto"/>
        <w:rPr>
          <w:bCs/>
        </w:rPr>
      </w:pPr>
      <w:r w:rsidRPr="005C008A">
        <w:rPr>
          <w:b/>
          <w:bCs/>
        </w:rPr>
        <w:lastRenderedPageBreak/>
        <w:t xml:space="preserve">Study limitations </w:t>
      </w:r>
    </w:p>
    <w:p w14:paraId="62C9C982" w14:textId="77777777" w:rsidR="004D5A23" w:rsidRDefault="009860C2" w:rsidP="00794A5A">
      <w:pPr>
        <w:spacing w:after="0" w:line="360" w:lineRule="auto"/>
        <w:jc w:val="both"/>
      </w:pPr>
      <w:r>
        <w:t xml:space="preserve">Source attribution studies have attributed pigs, </w:t>
      </w:r>
      <w:proofErr w:type="gramStart"/>
      <w:r w:rsidR="0016319B">
        <w:t>layers</w:t>
      </w:r>
      <w:proofErr w:type="gramEnd"/>
      <w:r>
        <w:t xml:space="preserve"> and travel as the primary sources</w:t>
      </w:r>
      <w:r w:rsidR="0016319B">
        <w:t xml:space="preserve"> </w:t>
      </w:r>
      <w:r w:rsidR="0016319B">
        <w:t>of human salmonellosis</w:t>
      </w:r>
      <w:r>
        <w:t xml:space="preserve">, with the influence of imported food products limited to 6.4-9.9%. This suggests </w:t>
      </w:r>
      <w:r w:rsidR="0016319B">
        <w:t xml:space="preserve">an overestimation of the </w:t>
      </w:r>
      <w:r>
        <w:t>influence of imported livestock food products</w:t>
      </w:r>
      <w:r w:rsidR="0016319B">
        <w:t xml:space="preserve"> contributing to human salmonellosis in this study ()</w:t>
      </w:r>
      <w:r>
        <w:t>. However, this is caveated by a lack of information on UK-</w:t>
      </w:r>
      <w:r w:rsidR="0016319B">
        <w:t>specific</w:t>
      </w:r>
      <w:r>
        <w:t xml:space="preserve"> </w:t>
      </w:r>
      <w:r w:rsidR="0016319B">
        <w:t xml:space="preserve">salmonellosis </w:t>
      </w:r>
      <w:r>
        <w:t xml:space="preserve">source </w:t>
      </w:r>
      <w:r w:rsidR="0016319B">
        <w:t>attribution and the lack of multiple livestock hosts</w:t>
      </w:r>
      <w:r w:rsidR="00794A5A">
        <w:t>/travel-related infection</w:t>
      </w:r>
      <w:r>
        <w:t xml:space="preserve">. </w:t>
      </w:r>
      <w:r w:rsidR="0016319B">
        <w:t xml:space="preserve">It is also important to recognise the recent advances in AMR source attribution using metagenomic approaches which </w:t>
      </w:r>
      <w:r w:rsidR="00794A5A">
        <w:t xml:space="preserve">may prove to be an </w:t>
      </w:r>
      <w:r>
        <w:t xml:space="preserve">interesting avenue </w:t>
      </w:r>
      <w:r w:rsidR="004D5A23">
        <w:t>to validate the AMR attributable fractions</w:t>
      </w:r>
      <w:r>
        <w:t>.</w:t>
      </w:r>
    </w:p>
    <w:p w14:paraId="45737680" w14:textId="77777777" w:rsidR="004D5A23" w:rsidRDefault="004D5A23" w:rsidP="00794A5A">
      <w:pPr>
        <w:spacing w:after="0" w:line="360" w:lineRule="auto"/>
        <w:jc w:val="both"/>
      </w:pPr>
    </w:p>
    <w:p w14:paraId="5F7E1C6C" w14:textId="7995E3F0" w:rsidR="00794A5A" w:rsidRPr="004D5A23" w:rsidRDefault="00794A5A" w:rsidP="00794A5A">
      <w:pPr>
        <w:spacing w:after="0" w:line="360" w:lineRule="auto"/>
        <w:jc w:val="both"/>
      </w:pPr>
      <w:r>
        <w:rPr>
          <w:bCs/>
        </w:rPr>
        <w:t xml:space="preserve">Due to the linear relationship between </w:t>
      </w:r>
      <w:r>
        <w:rPr>
          <w:rFonts w:cstheme="minorHAnsi"/>
          <w:bCs/>
        </w:rPr>
        <w:t>ψ</w:t>
      </w:r>
      <w:r>
        <w:rPr>
          <w:bCs/>
        </w:rPr>
        <w:t xml:space="preserve">, Share, </w:t>
      </w:r>
      <w:proofErr w:type="spellStart"/>
      <w:r>
        <w:rPr>
          <w:bCs/>
        </w:rPr>
        <w:t>Frac</w:t>
      </w:r>
      <w:r w:rsidRPr="004D5A23">
        <w:rPr>
          <w:bCs/>
          <w:vertAlign w:val="subscript"/>
        </w:rPr>
        <w:t>Imp</w:t>
      </w:r>
      <w:proofErr w:type="spellEnd"/>
      <w:r>
        <w:rPr>
          <w:bCs/>
        </w:rPr>
        <w:t xml:space="preserve">, </w:t>
      </w:r>
      <w:proofErr w:type="spellStart"/>
      <w:r>
        <w:rPr>
          <w:bCs/>
        </w:rPr>
        <w:t>PropRes</w:t>
      </w:r>
      <w:r w:rsidRPr="004D5A23">
        <w:rPr>
          <w:bCs/>
          <w:vertAlign w:val="subscript"/>
        </w:rPr>
        <w:t>Imp</w:t>
      </w:r>
      <w:proofErr w:type="spellEnd"/>
      <w:r>
        <w:rPr>
          <w:bCs/>
        </w:rPr>
        <w:t xml:space="preserve"> and </w:t>
      </w:r>
      <w:r>
        <w:rPr>
          <w:rFonts w:cstheme="minorHAnsi"/>
          <w:bCs/>
        </w:rPr>
        <w:t>β</w:t>
      </w:r>
      <w:r w:rsidRPr="008922BC">
        <w:rPr>
          <w:bCs/>
          <w:vertAlign w:val="subscript"/>
        </w:rPr>
        <w:t>HA</w:t>
      </w:r>
      <w:r>
        <w:rPr>
          <w:bCs/>
        </w:rPr>
        <w:t xml:space="preserve"> parameters in </w:t>
      </w:r>
      <w:r w:rsidR="004D5A23">
        <w:rPr>
          <w:bCs/>
        </w:rPr>
        <w:t xml:space="preserve">contributing to the influence of </w:t>
      </w:r>
      <w:r>
        <w:rPr>
          <w:bCs/>
        </w:rPr>
        <w:t>importing country</w:t>
      </w:r>
      <w:r w:rsidR="004D5A23">
        <w:rPr>
          <w:bCs/>
        </w:rPr>
        <w:t xml:space="preserve"> on Salmonella spp. transmission</w:t>
      </w:r>
      <w:r>
        <w:rPr>
          <w:bCs/>
        </w:rPr>
        <w:t xml:space="preserve">. It is likely that a lower overall attributable fraction of human salmonellosis to import would have </w:t>
      </w:r>
      <w:r w:rsidR="004D5A23">
        <w:rPr>
          <w:bCs/>
        </w:rPr>
        <w:t>similar results to a lower extent of lower</w:t>
      </w:r>
      <w:r>
        <w:rPr>
          <w:bCs/>
        </w:rPr>
        <w:t xml:space="preserve"> levels of </w:t>
      </w:r>
      <w:r w:rsidR="004D5A23">
        <w:rPr>
          <w:bCs/>
        </w:rPr>
        <w:t xml:space="preserve">overall/ampicillin-resistant Salmonella spp. </w:t>
      </w:r>
      <w:r>
        <w:rPr>
          <w:bCs/>
        </w:rPr>
        <w:t>contamination</w:t>
      </w:r>
      <w:r>
        <w:rPr>
          <w:bCs/>
        </w:rPr>
        <w:t xml:space="preserve"> (</w:t>
      </w:r>
      <w:proofErr w:type="spellStart"/>
      <w:r w:rsidR="004D5A23">
        <w:rPr>
          <w:bCs/>
        </w:rPr>
        <w:t>FracImp</w:t>
      </w:r>
      <w:proofErr w:type="spellEnd"/>
      <w:r w:rsidR="004D5A23">
        <w:rPr>
          <w:bCs/>
        </w:rPr>
        <w:t xml:space="preserve"> and </w:t>
      </w:r>
      <w:proofErr w:type="spellStart"/>
      <w:r w:rsidR="004D5A23">
        <w:rPr>
          <w:bCs/>
        </w:rPr>
        <w:t>PropRes</w:t>
      </w:r>
      <w:r w:rsidR="004D5A23" w:rsidRPr="004D5A23">
        <w:rPr>
          <w:bCs/>
          <w:vertAlign w:val="subscript"/>
        </w:rPr>
        <w:t>Imp</w:t>
      </w:r>
      <w:proofErr w:type="spellEnd"/>
      <w:r>
        <w:rPr>
          <w:bCs/>
        </w:rPr>
        <w:t>)</w:t>
      </w:r>
      <w:r w:rsidR="004D5A23">
        <w:rPr>
          <w:bCs/>
        </w:rPr>
        <w:t xml:space="preserve">, with a lower effect of import on the efficacy of curtailment (Figure 9). </w:t>
      </w:r>
      <w:r>
        <w:rPr>
          <w:bCs/>
        </w:rPr>
        <w:t xml:space="preserve"> </w:t>
      </w:r>
    </w:p>
    <w:p w14:paraId="7DEE87A0" w14:textId="77777777" w:rsidR="008922BC" w:rsidRDefault="008922BC" w:rsidP="00D51170">
      <w:pPr>
        <w:spacing w:after="0" w:line="360" w:lineRule="auto"/>
        <w:rPr>
          <w:bCs/>
        </w:rPr>
      </w:pPr>
    </w:p>
    <w:p w14:paraId="4B6E6E52" w14:textId="14CFD9E4" w:rsidR="00BA7E2C" w:rsidRPr="00CA0845" w:rsidRDefault="00B446DD" w:rsidP="00990C85">
      <w:pPr>
        <w:spacing w:after="0" w:line="360" w:lineRule="auto"/>
        <w:jc w:val="both"/>
        <w:rPr>
          <w:bCs/>
        </w:rPr>
      </w:pPr>
      <w:r>
        <w:rPr>
          <w:bCs/>
        </w:rPr>
        <w:t xml:space="preserve">While contamination on consumer bought livestock produce is the most direct exposure to contamiantion to humans, we note that this was not possible for this study. Import data was widely </w:t>
      </w:r>
      <w:r w:rsidR="00516F52">
        <w:rPr>
          <w:bCs/>
        </w:rPr>
        <w:t>available</w:t>
      </w:r>
      <w:r>
        <w:rPr>
          <w:bCs/>
        </w:rPr>
        <w:t xml:space="preserve"> for 400cm</w:t>
      </w:r>
      <w:r w:rsidRPr="00516F52">
        <w:rPr>
          <w:bCs/>
          <w:vertAlign w:val="superscript"/>
        </w:rPr>
        <w:t>2</w:t>
      </w:r>
      <w:r>
        <w:rPr>
          <w:bCs/>
        </w:rPr>
        <w:t xml:space="preserve"> surface swabs from livestock carcasses</w:t>
      </w:r>
      <w:r w:rsidR="00516F52">
        <w:rPr>
          <w:bCs/>
        </w:rPr>
        <w:t>, with this also the case</w:t>
      </w:r>
      <w:r>
        <w:rPr>
          <w:bCs/>
        </w:rPr>
        <w:t xml:space="preserve"> with ampicillin-resistance data</w:t>
      </w:r>
      <w:r w:rsidR="00516F52">
        <w:rPr>
          <w:bCs/>
        </w:rPr>
        <w:t xml:space="preserve"> for Salmonella spp. ()</w:t>
      </w:r>
      <w:r>
        <w:rPr>
          <w:bCs/>
        </w:rPr>
        <w:t xml:space="preserve">. We note that due to modelling both contamination on imported and domestic </w:t>
      </w:r>
      <w:r w:rsidR="00812929">
        <w:rPr>
          <w:bCs/>
        </w:rPr>
        <w:t>fattening</w:t>
      </w:r>
      <w:r>
        <w:rPr>
          <w:bCs/>
        </w:rPr>
        <w:t xml:space="preserve"> pig carcases (</w:t>
      </w:r>
      <w:r w:rsidR="0068281D">
        <w:rPr>
          <w:rFonts w:cstheme="minorHAnsi"/>
          <w:bCs/>
        </w:rPr>
        <w:t>β</w:t>
      </w:r>
      <w:r w:rsidRPr="0068281D">
        <w:rPr>
          <w:bCs/>
          <w:vertAlign w:val="subscript"/>
        </w:rPr>
        <w:t>HA</w:t>
      </w:r>
      <w:r>
        <w:rPr>
          <w:bCs/>
        </w:rPr>
        <w:t xml:space="preserve"> * </w:t>
      </w:r>
      <w:r w:rsidR="0068281D">
        <w:rPr>
          <w:rFonts w:cstheme="minorHAnsi"/>
          <w:bCs/>
        </w:rPr>
        <w:t>η</w:t>
      </w:r>
      <w:r w:rsidR="0068281D">
        <w:rPr>
          <w:bCs/>
        </w:rPr>
        <w:t>)</w:t>
      </w:r>
      <w:r>
        <w:rPr>
          <w:bCs/>
        </w:rPr>
        <w:t xml:space="preserve">, the use of a </w:t>
      </w:r>
      <w:r>
        <w:rPr>
          <w:rFonts w:cstheme="minorHAnsi"/>
          <w:bCs/>
        </w:rPr>
        <w:t>β</w:t>
      </w:r>
      <w:r>
        <w:rPr>
          <w:bCs/>
        </w:rPr>
        <w:t xml:space="preserve">HA parameter can be used to model the reduction in exposure leading to direct transmission to humans from the carcass processing stage to direct consumption by humans. </w:t>
      </w:r>
    </w:p>
    <w:p w14:paraId="61BDA5FD" w14:textId="77777777" w:rsidR="00516F52" w:rsidRDefault="00516F52" w:rsidP="00D51170">
      <w:pPr>
        <w:spacing w:after="0" w:line="360" w:lineRule="auto"/>
        <w:rPr>
          <w:bCs/>
        </w:rPr>
      </w:pPr>
    </w:p>
    <w:p w14:paraId="655ED123" w14:textId="6DB267DC" w:rsidR="00061ED3" w:rsidRPr="00CA0845" w:rsidRDefault="00516F52" w:rsidP="0068281D">
      <w:pPr>
        <w:spacing w:after="0" w:line="360" w:lineRule="auto"/>
        <w:jc w:val="both"/>
        <w:rPr>
          <w:bCs/>
        </w:rPr>
      </w:pPr>
      <w:r>
        <w:rPr>
          <w:bCs/>
        </w:rPr>
        <w:t xml:space="preserve">Both models also assumed a relationship between domestic livestock antibiotic usage and human antimicrobial resistance. </w:t>
      </w:r>
      <w:r w:rsidR="00E80DA0">
        <w:rPr>
          <w:bCs/>
        </w:rPr>
        <w:t>There is evidence in AMR literature of changes in livestock AMR following livestock AMR stewardship interventions. However, the link between livestock interventions and changes in AMR are less recorded</w:t>
      </w:r>
      <w:r w:rsidR="00812929">
        <w:rPr>
          <w:bCs/>
        </w:rPr>
        <w:t xml:space="preserve">, with interventions often introduced under a precautionary </w:t>
      </w:r>
      <w:proofErr w:type="gramStart"/>
      <w:r w:rsidR="00812929">
        <w:rPr>
          <w:bCs/>
        </w:rPr>
        <w:t>principle</w:t>
      </w:r>
      <w:proofErr w:type="gramEnd"/>
      <w:r w:rsidR="00812929">
        <w:rPr>
          <w:bCs/>
        </w:rPr>
        <w:t xml:space="preserve"> approach</w:t>
      </w:r>
      <w:r w:rsidR="00E80DA0">
        <w:rPr>
          <w:bCs/>
        </w:rPr>
        <w:t>. This can likely be attributed to multiple confounding factors or the</w:t>
      </w:r>
      <w:r w:rsidR="00812929">
        <w:rPr>
          <w:bCs/>
        </w:rPr>
        <w:t xml:space="preserve"> potentially</w:t>
      </w:r>
      <w:r w:rsidR="00E80DA0">
        <w:rPr>
          <w:bCs/>
        </w:rPr>
        <w:t xml:space="preserve"> presence of stronger AMR drivers in human populations. </w:t>
      </w:r>
      <w:r w:rsidR="00812929">
        <w:rPr>
          <w:bCs/>
        </w:rPr>
        <w:t xml:space="preserve">While the link has not been fundamentally proven, modelling of foodborne pathogens provide the most obvious relationship between livestock health/AMR and human AMR if the phenomenom does occur. With </w:t>
      </w:r>
      <w:r w:rsidR="00812929">
        <w:rPr>
          <w:bCs/>
        </w:rPr>
        <w:t xml:space="preserve">Salmonella spp. or Campylobacter spp. </w:t>
      </w:r>
      <w:r w:rsidR="00812929">
        <w:rPr>
          <w:bCs/>
        </w:rPr>
        <w:t xml:space="preserve">being obligate pathogens in humans and having long-lasting reservoirs in livestock. </w:t>
      </w:r>
    </w:p>
    <w:p w14:paraId="50539F0C" w14:textId="2E7BA208" w:rsidR="003F0E81" w:rsidRDefault="003F0E81" w:rsidP="003F0E81">
      <w:pPr>
        <w:spacing w:after="0" w:line="360" w:lineRule="auto"/>
        <w:rPr>
          <w:bCs/>
        </w:rPr>
      </w:pPr>
    </w:p>
    <w:p w14:paraId="5803E41F" w14:textId="2FC5C9F9" w:rsidR="003F0E81" w:rsidRDefault="003F0E81" w:rsidP="003F0E81">
      <w:pPr>
        <w:spacing w:after="0" w:line="360" w:lineRule="auto"/>
        <w:rPr>
          <w:b/>
          <w:bCs/>
        </w:rPr>
      </w:pPr>
      <w:r w:rsidRPr="00B75BA9">
        <w:rPr>
          <w:b/>
          <w:bCs/>
        </w:rPr>
        <w:t xml:space="preserve">Overall Conclusion Paragraph </w:t>
      </w:r>
    </w:p>
    <w:p w14:paraId="53EDB7B6" w14:textId="15953789" w:rsidR="00EF2210" w:rsidRDefault="00812929" w:rsidP="00161492">
      <w:pPr>
        <w:spacing w:after="0" w:line="360" w:lineRule="auto"/>
        <w:jc w:val="both"/>
      </w:pPr>
      <w:r>
        <w:lastRenderedPageBreak/>
        <w:t xml:space="preserve">This study suggests that importation of livestock food products from non-domestic sources can have potentially detrimental effects on the </w:t>
      </w:r>
      <w:r w:rsidR="00AD0006">
        <w:t xml:space="preserve">efficacy of local livestock antibiotic stewardship interventions </w:t>
      </w:r>
      <w:proofErr w:type="gramStart"/>
      <w:r w:rsidR="00AD0006">
        <w:t>with regard to</w:t>
      </w:r>
      <w:proofErr w:type="gramEnd"/>
      <w:r w:rsidR="00AD0006">
        <w:t xml:space="preserve"> human health. This was explored in the context of altering the extent of importation in the domestic country of interest. The worst outcome following the alteration of import was experienced when the </w:t>
      </w:r>
      <w:r w:rsidR="00EF2210">
        <w:t xml:space="preserve">average </w:t>
      </w:r>
      <w:r w:rsidR="00AD0006">
        <w:t xml:space="preserve">extent of contamiantion both overall and resistant on imported food products was high. Additionally, the balance between </w:t>
      </w:r>
      <w:r w:rsidR="00EF2210">
        <w:t>domestic and imported resistance/</w:t>
      </w:r>
      <w:r w:rsidR="0068281D">
        <w:t>contamination</w:t>
      </w:r>
      <w:r w:rsidR="00EF2210">
        <w:t xml:space="preserve"> was deemed to be important. Heterogeneity in trade partners did little to change the average effect of import on the efficacy of curtailment but changed the amount of variance </w:t>
      </w:r>
      <w:proofErr w:type="gramStart"/>
      <w:r w:rsidR="00EF2210">
        <w:t>that  you’d</w:t>
      </w:r>
      <w:proofErr w:type="gramEnd"/>
      <w:r w:rsidR="00EF2210">
        <w:t xml:space="preserve"> expect after changing import. The results also have implication for public health policy with a need for good surveillance and a need to at the very least push the level of contamination down to a level below the level seen on domestic food products if increasing the amount imported is needed.</w:t>
      </w:r>
      <w:r w:rsidR="00EF2210" w:rsidRPr="00EF2210">
        <w:t xml:space="preserve"> </w:t>
      </w:r>
      <w:r w:rsidR="00EF2210">
        <w:t>This study quantifies a previously intuitive notion that imports will affec</w:t>
      </w:r>
      <w:r w:rsidR="0068281D">
        <w:t>t</w:t>
      </w:r>
      <w:r w:rsidR="00EF2210">
        <w:t xml:space="preserve"> the efficacy of local interventions</w:t>
      </w:r>
      <w:r w:rsidR="00EF2210">
        <w:t xml:space="preserve"> and provides a </w:t>
      </w:r>
      <w:r w:rsidR="0068281D">
        <w:t>quantitative</w:t>
      </w:r>
      <w:r w:rsidR="00EF2210">
        <w:t xml:space="preserve"> framework for future modelling into foodborne disease and import of AMR. </w:t>
      </w:r>
    </w:p>
    <w:p w14:paraId="0EB5198F" w14:textId="77777777" w:rsidR="00E80DA0" w:rsidRPr="00B75BA9" w:rsidRDefault="00E80DA0" w:rsidP="003F0E81">
      <w:pPr>
        <w:spacing w:after="0" w:line="360" w:lineRule="auto"/>
        <w:rPr>
          <w:b/>
          <w:bCs/>
        </w:rPr>
      </w:pP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373B3D"/>
    <w:multiLevelType w:val="hybridMultilevel"/>
    <w:tmpl w:val="21922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2B6B33"/>
    <w:multiLevelType w:val="hybridMultilevel"/>
    <w:tmpl w:val="87E8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6"/>
  </w:num>
  <w:num w:numId="3">
    <w:abstractNumId w:val="24"/>
  </w:num>
  <w:num w:numId="4">
    <w:abstractNumId w:val="1"/>
  </w:num>
  <w:num w:numId="5">
    <w:abstractNumId w:val="3"/>
  </w:num>
  <w:num w:numId="6">
    <w:abstractNumId w:val="22"/>
  </w:num>
  <w:num w:numId="7">
    <w:abstractNumId w:val="30"/>
  </w:num>
  <w:num w:numId="8">
    <w:abstractNumId w:val="2"/>
  </w:num>
  <w:num w:numId="9">
    <w:abstractNumId w:val="32"/>
  </w:num>
  <w:num w:numId="10">
    <w:abstractNumId w:val="31"/>
  </w:num>
  <w:num w:numId="11">
    <w:abstractNumId w:val="7"/>
  </w:num>
  <w:num w:numId="12">
    <w:abstractNumId w:val="33"/>
  </w:num>
  <w:num w:numId="13">
    <w:abstractNumId w:val="14"/>
  </w:num>
  <w:num w:numId="14">
    <w:abstractNumId w:val="26"/>
  </w:num>
  <w:num w:numId="15">
    <w:abstractNumId w:val="16"/>
  </w:num>
  <w:num w:numId="16">
    <w:abstractNumId w:val="19"/>
  </w:num>
  <w:num w:numId="17">
    <w:abstractNumId w:val="9"/>
  </w:num>
  <w:num w:numId="18">
    <w:abstractNumId w:val="8"/>
  </w:num>
  <w:num w:numId="19">
    <w:abstractNumId w:val="11"/>
  </w:num>
  <w:num w:numId="20">
    <w:abstractNumId w:val="21"/>
  </w:num>
  <w:num w:numId="21">
    <w:abstractNumId w:val="13"/>
  </w:num>
  <w:num w:numId="22">
    <w:abstractNumId w:val="23"/>
  </w:num>
  <w:num w:numId="23">
    <w:abstractNumId w:val="20"/>
  </w:num>
  <w:num w:numId="24">
    <w:abstractNumId w:val="25"/>
  </w:num>
  <w:num w:numId="25">
    <w:abstractNumId w:val="29"/>
  </w:num>
  <w:num w:numId="26">
    <w:abstractNumId w:val="0"/>
  </w:num>
  <w:num w:numId="27">
    <w:abstractNumId w:val="10"/>
  </w:num>
  <w:num w:numId="28">
    <w:abstractNumId w:val="5"/>
  </w:num>
  <w:num w:numId="29">
    <w:abstractNumId w:val="15"/>
  </w:num>
  <w:num w:numId="30">
    <w:abstractNumId w:val="18"/>
  </w:num>
  <w:num w:numId="31">
    <w:abstractNumId w:val="4"/>
  </w:num>
  <w:num w:numId="32">
    <w:abstractNumId w:val="12"/>
  </w:num>
  <w:num w:numId="33">
    <w:abstractNumId w:val="17"/>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0C"/>
    <w:rsid w:val="000017CA"/>
    <w:rsid w:val="0001342B"/>
    <w:rsid w:val="00036FCA"/>
    <w:rsid w:val="000411C1"/>
    <w:rsid w:val="00041E63"/>
    <w:rsid w:val="00044754"/>
    <w:rsid w:val="000522E9"/>
    <w:rsid w:val="00061ED3"/>
    <w:rsid w:val="00063740"/>
    <w:rsid w:val="000702C0"/>
    <w:rsid w:val="00074D74"/>
    <w:rsid w:val="00082805"/>
    <w:rsid w:val="00091ADD"/>
    <w:rsid w:val="000A7BF3"/>
    <w:rsid w:val="000B2FD4"/>
    <w:rsid w:val="000B375D"/>
    <w:rsid w:val="000B4EEC"/>
    <w:rsid w:val="000D242E"/>
    <w:rsid w:val="000D3AFD"/>
    <w:rsid w:val="000D4AB7"/>
    <w:rsid w:val="000E2ED6"/>
    <w:rsid w:val="000E42C5"/>
    <w:rsid w:val="000F51EF"/>
    <w:rsid w:val="00101690"/>
    <w:rsid w:val="0010471B"/>
    <w:rsid w:val="001168DB"/>
    <w:rsid w:val="00116B65"/>
    <w:rsid w:val="001178DA"/>
    <w:rsid w:val="00120369"/>
    <w:rsid w:val="00121691"/>
    <w:rsid w:val="00127AEE"/>
    <w:rsid w:val="00137BAF"/>
    <w:rsid w:val="00143D2E"/>
    <w:rsid w:val="00147253"/>
    <w:rsid w:val="001500B0"/>
    <w:rsid w:val="00153F9F"/>
    <w:rsid w:val="00161492"/>
    <w:rsid w:val="0016319B"/>
    <w:rsid w:val="00164733"/>
    <w:rsid w:val="00166E35"/>
    <w:rsid w:val="001717F9"/>
    <w:rsid w:val="00174A59"/>
    <w:rsid w:val="00176C85"/>
    <w:rsid w:val="00185D12"/>
    <w:rsid w:val="001961E5"/>
    <w:rsid w:val="00196DC0"/>
    <w:rsid w:val="00197217"/>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4747D"/>
    <w:rsid w:val="00265C08"/>
    <w:rsid w:val="002724A8"/>
    <w:rsid w:val="00275E05"/>
    <w:rsid w:val="002844D8"/>
    <w:rsid w:val="0029369D"/>
    <w:rsid w:val="00296956"/>
    <w:rsid w:val="002A3A37"/>
    <w:rsid w:val="002A60AD"/>
    <w:rsid w:val="002A6854"/>
    <w:rsid w:val="002C2F49"/>
    <w:rsid w:val="002C5165"/>
    <w:rsid w:val="002D131E"/>
    <w:rsid w:val="002D7AEF"/>
    <w:rsid w:val="002E2526"/>
    <w:rsid w:val="002F205B"/>
    <w:rsid w:val="003057B4"/>
    <w:rsid w:val="00311DD4"/>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C5DDB"/>
    <w:rsid w:val="003D603C"/>
    <w:rsid w:val="003D652A"/>
    <w:rsid w:val="003E0E99"/>
    <w:rsid w:val="003E131F"/>
    <w:rsid w:val="003E26B6"/>
    <w:rsid w:val="003E4B0D"/>
    <w:rsid w:val="003E5AF1"/>
    <w:rsid w:val="003F0E81"/>
    <w:rsid w:val="0040052C"/>
    <w:rsid w:val="00402651"/>
    <w:rsid w:val="00405967"/>
    <w:rsid w:val="004175AA"/>
    <w:rsid w:val="00422EE7"/>
    <w:rsid w:val="004240B0"/>
    <w:rsid w:val="004322E0"/>
    <w:rsid w:val="0044039F"/>
    <w:rsid w:val="004448DD"/>
    <w:rsid w:val="00452015"/>
    <w:rsid w:val="00455EA6"/>
    <w:rsid w:val="004726F7"/>
    <w:rsid w:val="0047606F"/>
    <w:rsid w:val="00493807"/>
    <w:rsid w:val="00496C83"/>
    <w:rsid w:val="004970E9"/>
    <w:rsid w:val="004C3C82"/>
    <w:rsid w:val="004D37AC"/>
    <w:rsid w:val="004D51C3"/>
    <w:rsid w:val="004D5A23"/>
    <w:rsid w:val="004F16D1"/>
    <w:rsid w:val="004F38F0"/>
    <w:rsid w:val="00512AB7"/>
    <w:rsid w:val="00512B3D"/>
    <w:rsid w:val="00514CB2"/>
    <w:rsid w:val="00515EAF"/>
    <w:rsid w:val="00516F52"/>
    <w:rsid w:val="0052021A"/>
    <w:rsid w:val="00533964"/>
    <w:rsid w:val="00542DE8"/>
    <w:rsid w:val="00546083"/>
    <w:rsid w:val="005507C9"/>
    <w:rsid w:val="00556463"/>
    <w:rsid w:val="00556F70"/>
    <w:rsid w:val="00565A1F"/>
    <w:rsid w:val="00567E1A"/>
    <w:rsid w:val="00584474"/>
    <w:rsid w:val="00591CB7"/>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71B51"/>
    <w:rsid w:val="00675838"/>
    <w:rsid w:val="0068281D"/>
    <w:rsid w:val="006A2C8E"/>
    <w:rsid w:val="006B0158"/>
    <w:rsid w:val="006C1AC7"/>
    <w:rsid w:val="006D35ED"/>
    <w:rsid w:val="006D4052"/>
    <w:rsid w:val="006D77C4"/>
    <w:rsid w:val="006E05B4"/>
    <w:rsid w:val="006E3340"/>
    <w:rsid w:val="006E6D93"/>
    <w:rsid w:val="00700611"/>
    <w:rsid w:val="00704F20"/>
    <w:rsid w:val="007051A5"/>
    <w:rsid w:val="00732A5C"/>
    <w:rsid w:val="00737561"/>
    <w:rsid w:val="00740AFB"/>
    <w:rsid w:val="00741FA0"/>
    <w:rsid w:val="00743602"/>
    <w:rsid w:val="0074647E"/>
    <w:rsid w:val="0075259D"/>
    <w:rsid w:val="0075714A"/>
    <w:rsid w:val="00761340"/>
    <w:rsid w:val="00765E67"/>
    <w:rsid w:val="007735FA"/>
    <w:rsid w:val="00774866"/>
    <w:rsid w:val="00774B59"/>
    <w:rsid w:val="00782365"/>
    <w:rsid w:val="00782548"/>
    <w:rsid w:val="00794A5A"/>
    <w:rsid w:val="007A072D"/>
    <w:rsid w:val="007A3A0E"/>
    <w:rsid w:val="007A662E"/>
    <w:rsid w:val="007B1874"/>
    <w:rsid w:val="007B78CA"/>
    <w:rsid w:val="007C508C"/>
    <w:rsid w:val="007C5F0A"/>
    <w:rsid w:val="007D5E0A"/>
    <w:rsid w:val="007F22FE"/>
    <w:rsid w:val="0080627B"/>
    <w:rsid w:val="00812929"/>
    <w:rsid w:val="00830A1A"/>
    <w:rsid w:val="00840174"/>
    <w:rsid w:val="008410F5"/>
    <w:rsid w:val="0085712B"/>
    <w:rsid w:val="00857B3D"/>
    <w:rsid w:val="008667E4"/>
    <w:rsid w:val="00873797"/>
    <w:rsid w:val="00873F0A"/>
    <w:rsid w:val="00874540"/>
    <w:rsid w:val="008764F5"/>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1098"/>
    <w:rsid w:val="00912E82"/>
    <w:rsid w:val="00917037"/>
    <w:rsid w:val="009175FE"/>
    <w:rsid w:val="00922946"/>
    <w:rsid w:val="0092736D"/>
    <w:rsid w:val="00931DE8"/>
    <w:rsid w:val="00935C63"/>
    <w:rsid w:val="0094317D"/>
    <w:rsid w:val="00957D22"/>
    <w:rsid w:val="0096154D"/>
    <w:rsid w:val="00966102"/>
    <w:rsid w:val="00966B48"/>
    <w:rsid w:val="00974F31"/>
    <w:rsid w:val="0098118E"/>
    <w:rsid w:val="009860C2"/>
    <w:rsid w:val="00990C85"/>
    <w:rsid w:val="009A60A7"/>
    <w:rsid w:val="009B116D"/>
    <w:rsid w:val="009C0EC8"/>
    <w:rsid w:val="009E5758"/>
    <w:rsid w:val="009F2433"/>
    <w:rsid w:val="009F2C64"/>
    <w:rsid w:val="00A01C2A"/>
    <w:rsid w:val="00A05E6D"/>
    <w:rsid w:val="00A0675E"/>
    <w:rsid w:val="00A06BA2"/>
    <w:rsid w:val="00A150A1"/>
    <w:rsid w:val="00A1530D"/>
    <w:rsid w:val="00A233DB"/>
    <w:rsid w:val="00A2488B"/>
    <w:rsid w:val="00A27AC3"/>
    <w:rsid w:val="00A35E99"/>
    <w:rsid w:val="00A36FF8"/>
    <w:rsid w:val="00A418FB"/>
    <w:rsid w:val="00A42CCF"/>
    <w:rsid w:val="00A448C0"/>
    <w:rsid w:val="00A52CF4"/>
    <w:rsid w:val="00A53792"/>
    <w:rsid w:val="00A53AB4"/>
    <w:rsid w:val="00A53CE8"/>
    <w:rsid w:val="00A54B52"/>
    <w:rsid w:val="00A8015B"/>
    <w:rsid w:val="00A820CF"/>
    <w:rsid w:val="00A871D8"/>
    <w:rsid w:val="00A87E71"/>
    <w:rsid w:val="00A92678"/>
    <w:rsid w:val="00A93145"/>
    <w:rsid w:val="00A95D6B"/>
    <w:rsid w:val="00A962F1"/>
    <w:rsid w:val="00AA2A0B"/>
    <w:rsid w:val="00AA5EEA"/>
    <w:rsid w:val="00AB0124"/>
    <w:rsid w:val="00AB26D3"/>
    <w:rsid w:val="00AD0006"/>
    <w:rsid w:val="00AE2D40"/>
    <w:rsid w:val="00AE3D60"/>
    <w:rsid w:val="00AE6C07"/>
    <w:rsid w:val="00AF390E"/>
    <w:rsid w:val="00AF5EC3"/>
    <w:rsid w:val="00B0060C"/>
    <w:rsid w:val="00B072CB"/>
    <w:rsid w:val="00B11068"/>
    <w:rsid w:val="00B16943"/>
    <w:rsid w:val="00B23F67"/>
    <w:rsid w:val="00B27278"/>
    <w:rsid w:val="00B3258C"/>
    <w:rsid w:val="00B3617C"/>
    <w:rsid w:val="00B43129"/>
    <w:rsid w:val="00B446DD"/>
    <w:rsid w:val="00B46C2F"/>
    <w:rsid w:val="00B54571"/>
    <w:rsid w:val="00B552FF"/>
    <w:rsid w:val="00B57D67"/>
    <w:rsid w:val="00B63CD3"/>
    <w:rsid w:val="00B657BE"/>
    <w:rsid w:val="00B65B4E"/>
    <w:rsid w:val="00B671B4"/>
    <w:rsid w:val="00B72358"/>
    <w:rsid w:val="00B75BA9"/>
    <w:rsid w:val="00B828AF"/>
    <w:rsid w:val="00B83179"/>
    <w:rsid w:val="00B91369"/>
    <w:rsid w:val="00B9302E"/>
    <w:rsid w:val="00B93EE5"/>
    <w:rsid w:val="00B943BB"/>
    <w:rsid w:val="00BA13E1"/>
    <w:rsid w:val="00BA2D95"/>
    <w:rsid w:val="00BA7E2C"/>
    <w:rsid w:val="00BB467C"/>
    <w:rsid w:val="00BB48E7"/>
    <w:rsid w:val="00BD7B5D"/>
    <w:rsid w:val="00BE0799"/>
    <w:rsid w:val="00BE10CE"/>
    <w:rsid w:val="00BE1A82"/>
    <w:rsid w:val="00BE510C"/>
    <w:rsid w:val="00BE6412"/>
    <w:rsid w:val="00BF08B6"/>
    <w:rsid w:val="00C02BA1"/>
    <w:rsid w:val="00C03FAA"/>
    <w:rsid w:val="00C040CB"/>
    <w:rsid w:val="00C068C2"/>
    <w:rsid w:val="00C13DD4"/>
    <w:rsid w:val="00C20DFD"/>
    <w:rsid w:val="00C35661"/>
    <w:rsid w:val="00C36211"/>
    <w:rsid w:val="00C37C51"/>
    <w:rsid w:val="00C42765"/>
    <w:rsid w:val="00C44636"/>
    <w:rsid w:val="00C4469A"/>
    <w:rsid w:val="00C53B89"/>
    <w:rsid w:val="00C61527"/>
    <w:rsid w:val="00C70288"/>
    <w:rsid w:val="00C7040B"/>
    <w:rsid w:val="00C92BFC"/>
    <w:rsid w:val="00CA0845"/>
    <w:rsid w:val="00CA488B"/>
    <w:rsid w:val="00CB0009"/>
    <w:rsid w:val="00CB1797"/>
    <w:rsid w:val="00CC1DA9"/>
    <w:rsid w:val="00CC3421"/>
    <w:rsid w:val="00CD5FAF"/>
    <w:rsid w:val="00CD7B71"/>
    <w:rsid w:val="00CF200A"/>
    <w:rsid w:val="00CF48D7"/>
    <w:rsid w:val="00D144AA"/>
    <w:rsid w:val="00D14A82"/>
    <w:rsid w:val="00D20281"/>
    <w:rsid w:val="00D237C9"/>
    <w:rsid w:val="00D32772"/>
    <w:rsid w:val="00D34EE1"/>
    <w:rsid w:val="00D3605F"/>
    <w:rsid w:val="00D360D4"/>
    <w:rsid w:val="00D37387"/>
    <w:rsid w:val="00D41A12"/>
    <w:rsid w:val="00D42CDA"/>
    <w:rsid w:val="00D50D43"/>
    <w:rsid w:val="00D51170"/>
    <w:rsid w:val="00D51B6E"/>
    <w:rsid w:val="00D70D0C"/>
    <w:rsid w:val="00D74B79"/>
    <w:rsid w:val="00D7598E"/>
    <w:rsid w:val="00D806B0"/>
    <w:rsid w:val="00D91FF6"/>
    <w:rsid w:val="00D97C0B"/>
    <w:rsid w:val="00D97CC7"/>
    <w:rsid w:val="00DA3796"/>
    <w:rsid w:val="00DA4278"/>
    <w:rsid w:val="00DA7F3D"/>
    <w:rsid w:val="00DB3D19"/>
    <w:rsid w:val="00DC28B8"/>
    <w:rsid w:val="00DC6097"/>
    <w:rsid w:val="00DC63A3"/>
    <w:rsid w:val="00DD31F1"/>
    <w:rsid w:val="00DD34AC"/>
    <w:rsid w:val="00DD6757"/>
    <w:rsid w:val="00DE140E"/>
    <w:rsid w:val="00DE3E58"/>
    <w:rsid w:val="00DE4153"/>
    <w:rsid w:val="00DF2E4B"/>
    <w:rsid w:val="00DF31DA"/>
    <w:rsid w:val="00DF6D86"/>
    <w:rsid w:val="00E00C0B"/>
    <w:rsid w:val="00E07264"/>
    <w:rsid w:val="00E07823"/>
    <w:rsid w:val="00E12FD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80DA0"/>
    <w:rsid w:val="00E9289F"/>
    <w:rsid w:val="00E97BF8"/>
    <w:rsid w:val="00EA4FC1"/>
    <w:rsid w:val="00EA5D43"/>
    <w:rsid w:val="00EB3501"/>
    <w:rsid w:val="00EC1742"/>
    <w:rsid w:val="00ED355F"/>
    <w:rsid w:val="00EE6675"/>
    <w:rsid w:val="00EF0794"/>
    <w:rsid w:val="00EF2210"/>
    <w:rsid w:val="00EF70D1"/>
    <w:rsid w:val="00EF7947"/>
    <w:rsid w:val="00F11EB1"/>
    <w:rsid w:val="00F149E5"/>
    <w:rsid w:val="00F172FF"/>
    <w:rsid w:val="00F204E4"/>
    <w:rsid w:val="00F210D5"/>
    <w:rsid w:val="00F23B66"/>
    <w:rsid w:val="00F300B4"/>
    <w:rsid w:val="00F4591F"/>
    <w:rsid w:val="00F536A1"/>
    <w:rsid w:val="00F537EE"/>
    <w:rsid w:val="00F57C82"/>
    <w:rsid w:val="00F656BA"/>
    <w:rsid w:val="00F700EC"/>
    <w:rsid w:val="00F775FE"/>
    <w:rsid w:val="00F80514"/>
    <w:rsid w:val="00F87513"/>
    <w:rsid w:val="00FA0315"/>
    <w:rsid w:val="00FA6FE0"/>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18" Type="http://schemas.openxmlformats.org/officeDocument/2006/relationships/hyperlink" Target="https://assets.publishing.service.gov.uk/government/uploads/system/uploads/attachment_data/file/731057/implementing_pathogen_genomics_a_case_study.pdf" TargetMode="External"/><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hyperlink" Target="https://www.fda.gov/media/120585/download" TargetMode="External"/><Relationship Id="rId2" Type="http://schemas.openxmlformats.org/officeDocument/2006/relationships/numbering" Target="numbering.xml"/><Relationship Id="rId16" Type="http://schemas.openxmlformats.org/officeDocument/2006/relationships/hyperlink" Target="https://ec.europa.eu/food/system/files/2016-10/ia_ic_guidance_thirdcountries2009_en.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0B188-31D6-4D46-9DB7-2F33CE307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30</Pages>
  <Words>7932</Words>
  <Characters>45216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8</cp:revision>
  <dcterms:created xsi:type="dcterms:W3CDTF">2022-02-16T16:54:00Z</dcterms:created>
  <dcterms:modified xsi:type="dcterms:W3CDTF">2022-02-18T10:20:00Z</dcterms:modified>
</cp:coreProperties>
</file>