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4199D060" w14:textId="440B43E4" w:rsidR="00DB55DE" w:rsidRDefault="00DB55DE" w:rsidP="004970E9">
      <w:pPr>
        <w:spacing w:after="0" w:line="360" w:lineRule="auto"/>
      </w:pPr>
      <w:r>
        <w:t xml:space="preserve"> The role of livestock food products on the transmission dynamics of human AMR is a poorly quantified </w:t>
      </w:r>
      <w:proofErr w:type="spellStart"/>
      <w:r>
        <w:t>phenomnmon</w:t>
      </w:r>
      <w:proofErr w:type="spellEnd"/>
      <w:r>
        <w:t xml:space="preserve">. This is especially the </w:t>
      </w:r>
      <w:proofErr w:type="gramStart"/>
      <w:r>
        <w:t xml:space="preserve">caser  </w:t>
      </w:r>
      <w:proofErr w:type="spellStart"/>
      <w:r>
        <w:t>coisndiering</w:t>
      </w:r>
      <w:proofErr w:type="spellEnd"/>
      <w:proofErr w:type="gramEnd"/>
      <w:r>
        <w:t xml:space="preserve"> the </w:t>
      </w:r>
      <w:proofErr w:type="spellStart"/>
      <w:r>
        <w:t>maount</w:t>
      </w:r>
      <w:proofErr w:type="spellEnd"/>
      <w:r>
        <w:t xml:space="preserve"> of heterogeneity of food </w:t>
      </w:r>
      <w:proofErr w:type="spellStart"/>
      <w:r>
        <w:t>products,w</w:t>
      </w:r>
      <w:proofErr w:type="spellEnd"/>
      <w:r>
        <w:t xml:space="preserve"> </w:t>
      </w:r>
      <w:proofErr w:type="spellStart"/>
      <w:r>
        <w:t>ith</w:t>
      </w:r>
      <w:proofErr w:type="spellEnd"/>
      <w:r>
        <w:t xml:space="preserve"> imported food and domestic food. This issue is likely to become more pressing in the next few years due to an increasing global reliance on import. </w:t>
      </w:r>
    </w:p>
    <w:p w14:paraId="7F384EC7" w14:textId="2E33170A" w:rsidR="00DB55DE" w:rsidRDefault="00DB55DE" w:rsidP="004970E9">
      <w:pPr>
        <w:spacing w:after="0" w:line="360" w:lineRule="auto"/>
      </w:pPr>
    </w:p>
    <w:p w14:paraId="60BFC992" w14:textId="3EBCFE39" w:rsidR="00405967" w:rsidRDefault="00DB55DE" w:rsidP="004970E9">
      <w:pPr>
        <w:spacing w:after="0" w:line="360" w:lineRule="auto"/>
      </w:pPr>
      <w:r>
        <w:t xml:space="preserve">We </w:t>
      </w:r>
      <w:r w:rsidR="009C62E3">
        <w:t xml:space="preserve">use </w:t>
      </w:r>
      <w:r>
        <w:t>mathematical model</w:t>
      </w:r>
      <w:r w:rsidR="009C62E3">
        <w:t>s of import</w:t>
      </w:r>
      <w:r>
        <w:t xml:space="preserve"> to d</w:t>
      </w:r>
      <w:r w:rsidR="009C62E3">
        <w:t xml:space="preserve">escribe the transmission the role of domestic livestock sources of </w:t>
      </w:r>
      <w:proofErr w:type="spellStart"/>
      <w:r w:rsidR="009C62E3">
        <w:t>amr</w:t>
      </w:r>
      <w:proofErr w:type="spellEnd"/>
      <w:r w:rsidR="009C62E3">
        <w:t xml:space="preserve"> and imported source of AMR on livestock food products. We explore how this external source of import pressure may disrupt the influence of livestock antibiotic curtailment </w:t>
      </w:r>
      <w:proofErr w:type="spellStart"/>
      <w:r w:rsidR="009C62E3">
        <w:t>stratgieis</w:t>
      </w:r>
      <w:proofErr w:type="spellEnd"/>
      <w:r w:rsidR="009C62E3">
        <w:t xml:space="preserve"> especially in the context of human AMR. </w:t>
      </w:r>
    </w:p>
    <w:p w14:paraId="7371A419" w14:textId="69B159A7" w:rsidR="009C62E3" w:rsidRDefault="009C62E3" w:rsidP="004970E9">
      <w:pPr>
        <w:spacing w:after="0" w:line="360" w:lineRule="auto"/>
      </w:pPr>
    </w:p>
    <w:p w14:paraId="4B313785" w14:textId="77777777" w:rsidR="00C74275" w:rsidRDefault="009C62E3" w:rsidP="004970E9">
      <w:pPr>
        <w:spacing w:after="0" w:line="360" w:lineRule="auto"/>
      </w:pPr>
      <w:r>
        <w:t>Parameters relating to import such as the extent of contamination on imported food products and th</w:t>
      </w:r>
      <w:r w:rsidR="00C74275">
        <w:t xml:space="preserve">e extent of food importation had major negative effects on the efficacy of curtailment. </w:t>
      </w:r>
    </w:p>
    <w:p w14:paraId="3C7D409C" w14:textId="77777777" w:rsidR="00C74275" w:rsidRDefault="00C74275" w:rsidP="004970E9">
      <w:pPr>
        <w:spacing w:after="0" w:line="360" w:lineRule="auto"/>
      </w:pPr>
    </w:p>
    <w:p w14:paraId="53C93E33" w14:textId="3A2BC6FA" w:rsidR="009C62E3" w:rsidRDefault="00C74275" w:rsidP="004970E9">
      <w:pPr>
        <w:spacing w:after="0" w:line="360" w:lineRule="auto"/>
        <w:rPr>
          <w:b/>
          <w:u w:val="single"/>
        </w:rPr>
      </w:pPr>
      <w:r>
        <w:t xml:space="preserve">This can be attributed to a type of </w:t>
      </w:r>
      <w:proofErr w:type="spellStart"/>
      <w:r>
        <w:t>asautration</w:t>
      </w:r>
      <w:proofErr w:type="spellEnd"/>
      <w:r>
        <w:t xml:space="preserve"> effect where the </w:t>
      </w: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bookmarkStart w:id="1" w:name="_GoBack"/>
      <w:bookmarkEnd w:id="1"/>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1F38CD17"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C071EA">
        <w:rPr>
          <w:bCs/>
        </w:rPr>
        <w:t xml:space="preserve"> threat to human health</w:t>
      </w:r>
      <w:r w:rsidR="00A4275B">
        <w:rPr>
          <w:bCs/>
        </w:rPr>
        <w:t xml:space="preserve"> </w:t>
      </w:r>
      <w:r w:rsidR="00A4275B">
        <w:rPr>
          <w:bCs/>
        </w:rPr>
        <w:t>(</w:t>
      </w:r>
      <w:r w:rsidR="00A4275B" w:rsidRPr="000D4AB7">
        <w:rPr>
          <w:b/>
          <w:bCs/>
          <w:highlight w:val="yellow"/>
        </w:rPr>
        <w:t>cite</w:t>
      </w:r>
      <w:r w:rsidR="00A4275B">
        <w:rPr>
          <w:bCs/>
        </w:rPr>
        <w:t>)</w:t>
      </w:r>
      <w:r w:rsidR="00C071EA">
        <w:rPr>
          <w:bCs/>
        </w:rPr>
        <w:t>. This integrated approach works on the principle that human, agricultural and environmental</w:t>
      </w:r>
      <w:r w:rsidR="000D397A">
        <w:rPr>
          <w:bCs/>
        </w:rPr>
        <w:t xml:space="preserve"> health are</w:t>
      </w:r>
      <w:r w:rsidR="00C071EA">
        <w:rPr>
          <w:bCs/>
        </w:rPr>
        <w:t xml:space="preserve"> linked and therefore an integrated approach across all three settings is required to tackle human AMR</w:t>
      </w:r>
      <w:r w:rsidR="00A4275B">
        <w:rPr>
          <w:bCs/>
        </w:rPr>
        <w:t xml:space="preserve"> </w:t>
      </w:r>
      <w:r w:rsidR="00A4275B">
        <w:rPr>
          <w:bCs/>
        </w:rPr>
        <w:t>(</w:t>
      </w:r>
      <w:r w:rsidR="00A4275B" w:rsidRPr="000D4AB7">
        <w:rPr>
          <w:b/>
          <w:bCs/>
          <w:highlight w:val="yellow"/>
        </w:rPr>
        <w:t>cite</w:t>
      </w:r>
      <w:r w:rsidR="00A4275B">
        <w:rPr>
          <w:bCs/>
        </w:rPr>
        <w:t>)</w:t>
      </w:r>
      <w:r w:rsidR="00C071EA">
        <w:rPr>
          <w:bCs/>
        </w:rPr>
        <w:t xml:space="preserve">.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A4275B">
        <w:rPr>
          <w:bCs/>
        </w:rPr>
        <w:t xml:space="preserve"> </w:t>
      </w:r>
      <w:r w:rsidR="00A4275B">
        <w:rPr>
          <w:bCs/>
        </w:rPr>
        <w:t>(</w:t>
      </w:r>
      <w:r w:rsidR="00A4275B" w:rsidRPr="000D4AB7">
        <w:rPr>
          <w:b/>
          <w:bCs/>
          <w:highlight w:val="yellow"/>
        </w:rPr>
        <w:t>cite</w:t>
      </w:r>
      <w:r w:rsidR="00A4275B">
        <w:rPr>
          <w:bCs/>
        </w:rPr>
        <w:t>)</w:t>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723F39CC"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w:t>
      </w:r>
      <w:proofErr w:type="gramStart"/>
      <w:r>
        <w:rPr>
          <w:bCs/>
        </w:rPr>
        <w:t>has been demonstrated</w:t>
      </w:r>
      <w:proofErr w:type="gramEnd"/>
      <w:r>
        <w:rPr>
          <w:bCs/>
        </w:rPr>
        <w:t xml:space="preserve"> in literature</w:t>
      </w:r>
      <w:r w:rsidR="00D802A6">
        <w:rPr>
          <w:bCs/>
        </w:rPr>
        <w:t xml:space="preserve">. </w:t>
      </w:r>
      <w:proofErr w:type="gramStart"/>
      <w:r w:rsidR="00D802A6">
        <w:rPr>
          <w:bCs/>
        </w:rPr>
        <w:t>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EB27CC">
        <w:rPr>
          <w:bCs/>
        </w:rPr>
        <w:t xml:space="preserve">hosts </w:t>
      </w:r>
      <w:r w:rsidR="00D802A6">
        <w:rPr>
          <w:bCs/>
        </w:rPr>
        <w:t>(</w:t>
      </w:r>
      <w:proofErr w:type="spellStart"/>
      <w:r w:rsidR="00D802A6" w:rsidRPr="00A4275B">
        <w:rPr>
          <w:b/>
          <w:bCs/>
          <w:highlight w:val="yellow"/>
        </w:rPr>
        <w:t>Dishons</w:t>
      </w:r>
      <w:proofErr w:type="spellEnd"/>
      <w:r w:rsidR="00D802A6" w:rsidRPr="00A4275B">
        <w:rPr>
          <w:b/>
          <w:bCs/>
          <w:highlight w:val="yellow"/>
        </w:rPr>
        <w:t xml:space="preserve"> study</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A4275B">
        <w:rPr>
          <w:bCs/>
        </w:rPr>
        <w:t xml:space="preserve"> </w:t>
      </w:r>
      <w:r w:rsidR="00A4275B">
        <w:rPr>
          <w:bCs/>
        </w:rPr>
        <w:t>(</w:t>
      </w:r>
      <w:r w:rsidR="00A4275B" w:rsidRPr="000D4AB7">
        <w:rPr>
          <w:b/>
          <w:bCs/>
          <w:highlight w:val="yellow"/>
        </w:rPr>
        <w:t>cite</w:t>
      </w:r>
      <w:r w:rsidR="00A4275B">
        <w:rPr>
          <w:bCs/>
        </w:rPr>
        <w:t>)</w:t>
      </w:r>
      <w:r w:rsidR="00D802A6">
        <w:rPr>
          <w:bCs/>
        </w:rPr>
        <w:t xml:space="preserve"> 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proofErr w:type="spellStart"/>
      <w:r w:rsidR="00EE6940" w:rsidRPr="00461809">
        <w:rPr>
          <w:bCs/>
          <w:i/>
        </w:rPr>
        <w:t>enterica</w:t>
      </w:r>
      <w:proofErr w:type="spellEnd"/>
      <w:r w:rsidR="00EE6940">
        <w:rPr>
          <w:bCs/>
        </w:rPr>
        <w:t xml:space="preserve"> linked</w:t>
      </w:r>
      <w:r w:rsidR="00D802A6">
        <w:rPr>
          <w:bCs/>
        </w:rPr>
        <w:t xml:space="preserve"> to the consumption of raw milk</w:t>
      </w:r>
      <w:r w:rsidR="00A4275B">
        <w:rPr>
          <w:bCs/>
        </w:rPr>
        <w:t xml:space="preserve"> </w:t>
      </w:r>
      <w:r w:rsidR="00A4275B">
        <w:rPr>
          <w:bCs/>
        </w:rPr>
        <w:t>(</w:t>
      </w:r>
      <w:r w:rsidR="00A4275B" w:rsidRPr="000D4AB7">
        <w:rPr>
          <w:b/>
          <w:bCs/>
          <w:highlight w:val="yellow"/>
        </w:rPr>
        <w:t>cite</w:t>
      </w:r>
      <w:r w:rsidR="00A4275B">
        <w:rPr>
          <w:bCs/>
        </w:rPr>
        <w:t>)</w:t>
      </w:r>
      <w:r w:rsidR="00C91DFA">
        <w:rPr>
          <w:bCs/>
        </w:rPr>
        <w:t>.</w:t>
      </w:r>
      <w:proofErr w:type="gramEnd"/>
      <w:r w:rsidR="00C91DFA">
        <w:rPr>
          <w:bCs/>
        </w:rPr>
        <w:t xml:space="preserve"> However, there is also an emerging body of literature</w:t>
      </w:r>
      <w:r w:rsidR="00D802A6">
        <w:rPr>
          <w:bCs/>
        </w:rPr>
        <w:t xml:space="preserve"> </w:t>
      </w:r>
      <w:r w:rsidR="00EE6940">
        <w:rPr>
          <w:bCs/>
        </w:rPr>
        <w:t>identifying</w:t>
      </w:r>
      <w:r w:rsidR="00C91DFA">
        <w:rPr>
          <w:bCs/>
        </w:rPr>
        <w:t xml:space="preserve"> the </w:t>
      </w:r>
      <w:r w:rsidR="00F26658">
        <w:rPr>
          <w:bCs/>
        </w:rPr>
        <w:t>opposite</w:t>
      </w:r>
      <w:r w:rsidR="00D802A6">
        <w:rPr>
          <w:bCs/>
        </w:rPr>
        <w:t xml:space="preserve">. </w:t>
      </w:r>
      <w:proofErr w:type="gramStart"/>
      <w:r w:rsidR="00D802A6">
        <w:rPr>
          <w:bCs/>
        </w:rPr>
        <w:t>This includes</w:t>
      </w:r>
      <w:r w:rsidR="00135DF7">
        <w:rPr>
          <w:bCs/>
        </w:rPr>
        <w:t xml:space="preserve"> the use of whole genome sequencing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C91DFA">
        <w:rPr>
          <w:bCs/>
        </w:rPr>
        <w:t xml:space="preserve"> (</w:t>
      </w:r>
      <w:hyperlink r:id="rId6" w:history="1">
        <w:r w:rsidR="00135DF7">
          <w:rPr>
            <w:rStyle w:val="Hyperlink"/>
          </w:rPr>
          <w:t xml:space="preserve">One Health Genomic Surveillance of Escherichia coli Demonstrates Distinct Lineages and Mobile Genetic Elements in Isolates from Humans versus Livestock | </w:t>
        </w:r>
        <w:proofErr w:type="spellStart"/>
        <w:r w:rsidR="00135DF7">
          <w:rPr>
            <w:rStyle w:val="Hyperlink"/>
          </w:rPr>
          <w:t>mBio</w:t>
        </w:r>
        <w:proofErr w:type="spellEnd"/>
        <w:r w:rsidR="00135DF7">
          <w:rPr>
            <w:rStyle w:val="Hyperlink"/>
          </w:rPr>
          <w:t xml:space="preserve"> (asm.org)</w:t>
        </w:r>
      </w:hyperlink>
      <w:r w:rsidR="00C91DFA">
        <w:rPr>
          <w:bCs/>
        </w:rPr>
        <w:t>)</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 and human populations </w:t>
      </w:r>
      <w:r w:rsidR="00EE6940">
        <w:rPr>
          <w:bCs/>
        </w:rPr>
        <w:t>(</w:t>
      </w:r>
      <w:hyperlink r:id="rId7" w:history="1">
        <w:r w:rsidR="00135DF7">
          <w:rPr>
            <w:rStyle w:val="Hyperlink"/>
          </w:rPr>
          <w:t xml:space="preserve">Genomic Surveillance of Enterococcus </w:t>
        </w:r>
        <w:proofErr w:type="spellStart"/>
        <w:r w:rsidR="00135DF7">
          <w:rPr>
            <w:rStyle w:val="Hyperlink"/>
          </w:rPr>
          <w:t>faecium</w:t>
        </w:r>
        <w:proofErr w:type="spellEnd"/>
        <w:r w:rsidR="00135DF7">
          <w:rPr>
            <w:rStyle w:val="Hyperlink"/>
          </w:rPr>
          <w:t xml:space="preserve"> Reveals Limited Sharing of Strains and Resistance Genes between Livestock and Humans in the United Kingdom | </w:t>
        </w:r>
        <w:proofErr w:type="spellStart"/>
        <w:r w:rsidR="00135DF7">
          <w:rPr>
            <w:rStyle w:val="Hyperlink"/>
          </w:rPr>
          <w:t>mBio</w:t>
        </w:r>
        <w:proofErr w:type="spellEnd"/>
        <w:r w:rsidR="00135DF7">
          <w:rPr>
            <w:rStyle w:val="Hyperlink"/>
          </w:rPr>
          <w:t xml:space="preserve"> (asm.org)</w:t>
        </w:r>
      </w:hyperlink>
      <w:r w:rsidR="00EE6940">
        <w:rPr>
          <w:bCs/>
        </w:rPr>
        <w:t>)</w:t>
      </w:r>
      <w:r w:rsidR="00C91DFA">
        <w:rPr>
          <w:bCs/>
        </w:rPr>
        <w:t>.</w:t>
      </w:r>
      <w:proofErr w:type="gramEnd"/>
      <w:r w:rsidR="00C91DFA">
        <w:rPr>
          <w:bCs/>
        </w:rPr>
        <w:t xml:space="preserve"> </w:t>
      </w:r>
    </w:p>
    <w:p w14:paraId="0D5D29DC" w14:textId="77777777" w:rsidR="00DA318E" w:rsidRDefault="00DA318E" w:rsidP="00461809">
      <w:pPr>
        <w:spacing w:after="0" w:line="360" w:lineRule="auto"/>
        <w:jc w:val="both"/>
        <w:rPr>
          <w:bCs/>
        </w:rPr>
      </w:pPr>
    </w:p>
    <w:p w14:paraId="73BBA712" w14:textId="54C56E43"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 </w:t>
      </w:r>
      <w:r>
        <w:rPr>
          <w:bCs/>
        </w:rPr>
        <w:t xml:space="preserve">study </w:t>
      </w:r>
      <w:r w:rsidR="00EE6940">
        <w:rPr>
          <w:bCs/>
        </w:rPr>
        <w:t>sampling frameworks and the dearth of high-resolution epidemiological metadata to integrate with genomic analysis to identify transmission events</w:t>
      </w:r>
      <w:r w:rsidR="00A4275B">
        <w:rPr>
          <w:bCs/>
        </w:rPr>
        <w:t xml:space="preserve"> </w:t>
      </w:r>
      <w:r w:rsidR="00A4275B">
        <w:rPr>
          <w:bCs/>
        </w:rPr>
        <w:t>(</w:t>
      </w:r>
      <w:r w:rsidR="00A4275B" w:rsidRPr="000D4AB7">
        <w:rPr>
          <w:b/>
          <w:bCs/>
          <w:highlight w:val="yellow"/>
        </w:rPr>
        <w:t>cite</w:t>
      </w:r>
      <w:r w:rsidR="00A4275B">
        <w:rPr>
          <w:bCs/>
        </w:rPr>
        <w:t>)</w:t>
      </w:r>
      <w:r w:rsidR="00461809">
        <w:rPr>
          <w:bCs/>
        </w:rPr>
        <w:t>.</w:t>
      </w:r>
      <w:r>
        <w:rPr>
          <w:bCs/>
        </w:rPr>
        <w:t xml:space="preserve"> </w:t>
      </w:r>
      <w:proofErr w:type="gramStart"/>
      <w:r>
        <w:rPr>
          <w:bCs/>
        </w:rPr>
        <w:t>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 the livestock/human interface (</w:t>
      </w:r>
      <w:hyperlink r:id="rId8" w:history="1">
        <w:r w:rsidR="00461809">
          <w:rPr>
            <w:rStyle w:val="Hyperlink"/>
          </w:rPr>
          <w:t>Antimicrobial use in food animals and human health: time to implement ‘One Health’ approach | Antimicrobial Resistance &amp; Infection Control | Full Text (biomedcentral.com)</w:t>
        </w:r>
      </w:hyperlink>
      <w:r w:rsidR="00461809">
        <w:rPr>
          <w:bCs/>
        </w:rPr>
        <w:t>).</w:t>
      </w:r>
      <w:proofErr w:type="gramEnd"/>
      <w:r w:rsidR="00461809">
        <w:rPr>
          <w:bCs/>
        </w:rPr>
        <w:t xml:space="preserve"> </w:t>
      </w:r>
    </w:p>
    <w:p w14:paraId="751401D2" w14:textId="3A341123" w:rsidR="005725A7" w:rsidRDefault="005725A7" w:rsidP="00B3617C">
      <w:pPr>
        <w:spacing w:after="0" w:line="360" w:lineRule="auto"/>
        <w:rPr>
          <w:bCs/>
        </w:rPr>
      </w:pPr>
    </w:p>
    <w:p w14:paraId="3527CE61" w14:textId="62133DBD" w:rsidR="00464DA3" w:rsidRDefault="00A5430A" w:rsidP="00A5430A">
      <w:pPr>
        <w:spacing w:after="0" w:line="360" w:lineRule="auto"/>
        <w:jc w:val="both"/>
        <w:rPr>
          <w:bCs/>
        </w:rPr>
      </w:pPr>
      <w:r>
        <w:rPr>
          <w:bCs/>
        </w:rPr>
        <w:lastRenderedPageBreak/>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7650A7">
        <w:rPr>
          <w:bCs/>
        </w:rPr>
        <w:t xml:space="preserve"> spp.</w:t>
      </w:r>
      <w:r w:rsidR="007650A7">
        <w:rPr>
          <w:bCs/>
        </w:rPr>
        <w:t>) represent an ideal case study to explore the potential spread of AMR from livestock to human populations, with these pathogens having defined livestock reservoirs and being pathogenic upon colonisation in human populations</w:t>
      </w:r>
      <w:r w:rsidR="00A4275B">
        <w:rPr>
          <w:bCs/>
        </w:rPr>
        <w:t xml:space="preserve"> </w:t>
      </w:r>
      <w:r w:rsidR="00A4275B">
        <w:rPr>
          <w:bCs/>
        </w:rPr>
        <w:t>(</w:t>
      </w:r>
      <w:r w:rsidR="00A4275B" w:rsidRPr="000D4AB7">
        <w:rPr>
          <w:b/>
          <w:bCs/>
          <w:highlight w:val="yellow"/>
        </w:rPr>
        <w:t>cite</w:t>
      </w:r>
      <w:r w:rsidR="00A4275B">
        <w:rPr>
          <w:bCs/>
        </w:rPr>
        <w:t>)</w:t>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w:t>
      </w:r>
      <w:proofErr w:type="gramStart"/>
      <w:r w:rsidR="007650A7">
        <w:rPr>
          <w:bCs/>
        </w:rPr>
        <w:t>foodborne</w:t>
      </w:r>
      <w:proofErr w:type="gramEnd"/>
      <w:r w:rsidR="007650A7">
        <w:rPr>
          <w:bCs/>
        </w:rPr>
        <w:t xml:space="preserve"> pathogens/genes found in all stages of food processing</w:t>
      </w:r>
      <w:r w:rsidR="00A4275B">
        <w:rPr>
          <w:bCs/>
        </w:rPr>
        <w:t xml:space="preserve"> </w:t>
      </w:r>
      <w:r w:rsidR="00A4275B">
        <w:rPr>
          <w:bCs/>
        </w:rPr>
        <w:t>(</w:t>
      </w:r>
      <w:r w:rsidR="00A4275B" w:rsidRPr="000D4AB7">
        <w:rPr>
          <w:b/>
          <w:bCs/>
          <w:highlight w:val="yellow"/>
        </w:rPr>
        <w:t>cite</w:t>
      </w:r>
      <w:r w:rsidR="00A4275B">
        <w:rPr>
          <w:bCs/>
        </w:rPr>
        <w:t>)</w:t>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A4275B">
        <w:rPr>
          <w:bCs/>
        </w:rPr>
        <w:t xml:space="preserve">transmission </w:t>
      </w:r>
      <w:r w:rsidR="00A4275B">
        <w:rPr>
          <w:bCs/>
        </w:rPr>
        <w:t>(</w:t>
      </w:r>
      <w:r w:rsidR="00A4275B" w:rsidRPr="000D4AB7">
        <w:rPr>
          <w:b/>
          <w:bCs/>
          <w:highlight w:val="yellow"/>
        </w:rPr>
        <w:t>cite</w:t>
      </w:r>
      <w:r w:rsidR="00A4275B">
        <w:rPr>
          <w:bCs/>
        </w:rPr>
        <w:t>)</w:t>
      </w:r>
      <w:r w:rsidR="00464DA3">
        <w:rPr>
          <w:bCs/>
        </w:rPr>
        <w:t xml:space="preserve">. This </w:t>
      </w:r>
      <w:proofErr w:type="gramStart"/>
      <w:r w:rsidR="002F0C8B">
        <w:rPr>
          <w:bCs/>
        </w:rPr>
        <w:t>is acknowledged</w:t>
      </w:r>
      <w:proofErr w:type="gramEnd"/>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A4275B">
        <w:rPr>
          <w:bCs/>
        </w:rPr>
        <w:t xml:space="preserve"> </w:t>
      </w:r>
      <w:r w:rsidR="00A4275B">
        <w:rPr>
          <w:bCs/>
        </w:rPr>
        <w:t>(</w:t>
      </w:r>
      <w:r w:rsidR="00A4275B" w:rsidRPr="000D4AB7">
        <w:rPr>
          <w:b/>
          <w:bCs/>
          <w:highlight w:val="yellow"/>
        </w:rPr>
        <w:t>cite</w:t>
      </w:r>
      <w:r w:rsidR="00A4275B">
        <w:rPr>
          <w:bCs/>
        </w:rPr>
        <w:t>)</w:t>
      </w:r>
      <w:r w:rsidR="00464DA3">
        <w:rPr>
          <w:bCs/>
        </w:rPr>
        <w:t>. H</w:t>
      </w:r>
      <w:r w:rsidR="002F0C8B">
        <w:rPr>
          <w:bCs/>
        </w:rPr>
        <w:t xml:space="preserve">owever, few studies have attempted to quantify the impact of imported food products on AMR transmission dynamics. </w:t>
      </w:r>
    </w:p>
    <w:p w14:paraId="4435E145" w14:textId="77777777" w:rsidR="002F0C8B" w:rsidRDefault="002F0C8B" w:rsidP="00E21206">
      <w:pPr>
        <w:spacing w:after="0" w:line="360" w:lineRule="auto"/>
        <w:jc w:val="both"/>
        <w:rPr>
          <w:bCs/>
        </w:rPr>
      </w:pPr>
    </w:p>
    <w:p w14:paraId="11278283" w14:textId="4EA3F6F4"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4275B">
        <w:rPr>
          <w:bCs/>
        </w:rPr>
        <w:t xml:space="preserve"> </w:t>
      </w:r>
      <w:r w:rsidR="00A4275B">
        <w:rPr>
          <w:bCs/>
        </w:rPr>
        <w:t>(</w:t>
      </w:r>
      <w:r w:rsidR="00A4275B" w:rsidRPr="000D4AB7">
        <w:rPr>
          <w:b/>
          <w:bCs/>
          <w:highlight w:val="yellow"/>
        </w:rPr>
        <w:t>cite</w:t>
      </w:r>
      <w:r w:rsidR="00A4275B">
        <w:rPr>
          <w:bCs/>
        </w:rPr>
        <w:t>)</w:t>
      </w:r>
      <w:r w:rsidR="00E21206">
        <w:rPr>
          <w:bCs/>
        </w:rPr>
        <w:t>.</w:t>
      </w:r>
      <w:r>
        <w:rPr>
          <w:bCs/>
        </w:rPr>
        <w:t xml:space="preserve"> This has also been recognised in AMR literature </w:t>
      </w:r>
      <w:r w:rsidR="00E21206">
        <w:rPr>
          <w:bCs/>
        </w:rPr>
        <w:t xml:space="preserve">with </w:t>
      </w:r>
      <w:r w:rsidR="00E21206">
        <w:rPr>
          <w:bCs/>
        </w:rPr>
        <w:t>interaction between sub-populations and spill over of AMR drastically reduc</w:t>
      </w:r>
      <w:r w:rsidR="00E21206">
        <w:rPr>
          <w:bCs/>
        </w:rPr>
        <w:t>ing</w:t>
      </w:r>
      <w:r w:rsidR="00E21206">
        <w:rPr>
          <w:bCs/>
        </w:rPr>
        <w:t xml:space="preserve"> the efficacy of local curtailment interventions, and with </w:t>
      </w:r>
      <w:proofErr w:type="gramStart"/>
      <w:r w:rsidR="00E21206">
        <w:rPr>
          <w:bCs/>
        </w:rPr>
        <w:t>meta-population</w:t>
      </w:r>
      <w:proofErr w:type="gramEnd"/>
      <w:r w:rsidR="00E21206">
        <w:rPr>
          <w:bCs/>
        </w:rPr>
        <w:t xml:space="preserve"> models </w:t>
      </w:r>
      <w:r w:rsidR="00A5430A">
        <w:rPr>
          <w:bCs/>
        </w:rPr>
        <w:t>predicting</w:t>
      </w:r>
      <w:r w:rsidR="00E21206">
        <w:rPr>
          <w:bCs/>
        </w:rPr>
        <w:t xml:space="preserve"> </w:t>
      </w:r>
      <w:r w:rsidR="00E21206">
        <w:rPr>
          <w:bCs/>
        </w:rPr>
        <w:t xml:space="preserve">strain coexistence due </w:t>
      </w:r>
      <w:r>
        <w:rPr>
          <w:bCs/>
        </w:rPr>
        <w:t xml:space="preserve">to sub-population interaction and the </w:t>
      </w:r>
      <w:r w:rsidR="00E21206">
        <w:rPr>
          <w:bCs/>
        </w:rPr>
        <w:t>maintenance of AMR (</w:t>
      </w:r>
      <w:r w:rsidR="00E21206" w:rsidRPr="000D4AB7">
        <w:rPr>
          <w:b/>
          <w:bCs/>
          <w:highlight w:val="yellow"/>
        </w:rPr>
        <w:t>cite</w:t>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7472AFBD"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likely to increase in the near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A4275B">
        <w:rPr>
          <w:bCs/>
        </w:rPr>
        <w:t xml:space="preserve"> </w:t>
      </w:r>
      <w:r w:rsidR="00A4275B">
        <w:rPr>
          <w:bCs/>
        </w:rPr>
        <w:t>(</w:t>
      </w:r>
      <w:r w:rsidR="00A4275B" w:rsidRPr="000D4AB7">
        <w:rPr>
          <w:b/>
          <w:bCs/>
          <w:highlight w:val="yellow"/>
        </w:rPr>
        <w:t>cite</w:t>
      </w:r>
      <w:r w:rsidR="00A4275B">
        <w:rPr>
          <w:bCs/>
        </w:rPr>
        <w:t>)</w:t>
      </w:r>
      <w:r w:rsidR="007D46FF">
        <w:rPr>
          <w:bCs/>
        </w:rPr>
        <w:t>. Renegotiation of current trade agreements may also lead to a change in importation, with the UK experiencing an increase in non-EU imports in 2021</w:t>
      </w:r>
      <w:r w:rsidR="00A4275B">
        <w:rPr>
          <w:bCs/>
        </w:rPr>
        <w:t xml:space="preserve"> </w:t>
      </w:r>
      <w:r w:rsidR="00A4275B">
        <w:rPr>
          <w:bCs/>
        </w:rPr>
        <w:t>(</w:t>
      </w:r>
      <w:r w:rsidR="00A4275B" w:rsidRPr="000D4AB7">
        <w:rPr>
          <w:b/>
          <w:bCs/>
          <w:highlight w:val="yellow"/>
        </w:rPr>
        <w:t>cite</w:t>
      </w:r>
      <w:r w:rsidR="00A4275B">
        <w:rPr>
          <w:bCs/>
        </w:rPr>
        <w:t>)</w:t>
      </w:r>
      <w:r w:rsidR="007D46FF">
        <w:rPr>
          <w:bCs/>
        </w:rPr>
        <w:t xml:space="preserve">. This </w:t>
      </w:r>
      <w:proofErr w:type="gramStart"/>
      <w:r w:rsidR="007D46FF">
        <w:rPr>
          <w:bCs/>
        </w:rPr>
        <w:t>can be attributed</w:t>
      </w:r>
      <w:proofErr w:type="gramEnd"/>
      <w:r w:rsidR="007D46FF">
        <w:rPr>
          <w:bCs/>
        </w:rPr>
        <w:t xml:space="preserve"> to a trade-hub type effect, with a greater level of non-EU food products passing directly to the UK rather than being previously cleared in EU nations</w:t>
      </w:r>
      <w:r w:rsidR="00A4275B">
        <w:rPr>
          <w:bCs/>
        </w:rPr>
        <w:t xml:space="preserve"> </w:t>
      </w:r>
      <w:r w:rsidR="00A4275B">
        <w:rPr>
          <w:bCs/>
        </w:rPr>
        <w:t>(</w:t>
      </w:r>
      <w:r w:rsidR="00A4275B" w:rsidRPr="000D4AB7">
        <w:rPr>
          <w:b/>
          <w:bCs/>
          <w:highlight w:val="yellow"/>
        </w:rPr>
        <w:t>cite</w:t>
      </w:r>
      <w:r w:rsidR="00A4275B">
        <w:rPr>
          <w:bCs/>
        </w:rPr>
        <w:t>)</w:t>
      </w:r>
      <w:r w:rsidR="007D46FF">
        <w:rPr>
          <w:bCs/>
        </w:rPr>
        <w:t xml:space="preserve">. </w:t>
      </w:r>
      <w:r w:rsidR="00B465C1">
        <w:rPr>
          <w:bCs/>
        </w:rPr>
        <w:t xml:space="preserve">Changes to import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A4275B">
        <w:rPr>
          <w:bCs/>
        </w:rPr>
        <w:t>(</w:t>
      </w:r>
      <w:r w:rsidR="00A4275B" w:rsidRPr="000D4AB7">
        <w:rPr>
          <w:b/>
          <w:bCs/>
          <w:highlight w:val="yellow"/>
        </w:rPr>
        <w:t>cite</w:t>
      </w:r>
      <w:r w:rsidR="00A4275B">
        <w:rPr>
          <w:bCs/>
        </w:rPr>
        <w:t>)</w:t>
      </w:r>
      <w:r w:rsidR="007961F7">
        <w:rPr>
          <w:bCs/>
        </w:rPr>
        <w:t xml:space="preserve">. </w:t>
      </w:r>
      <w:r w:rsidR="00B465C1">
        <w:rPr>
          <w:bCs/>
        </w:rPr>
        <w:t xml:space="preserve">However, no studies </w:t>
      </w:r>
      <w:proofErr w:type="gramStart"/>
      <w:r w:rsidR="00B465C1">
        <w:rPr>
          <w:bCs/>
        </w:rPr>
        <w:t>have been performed</w:t>
      </w:r>
      <w:proofErr w:type="gramEnd"/>
      <w:r w:rsidR="00B465C1">
        <w:rPr>
          <w:bCs/>
        </w:rPr>
        <w:t xml:space="preserve"> that 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AC6842">
        <w:rPr>
          <w:bCs/>
        </w:rPr>
        <w:t xml:space="preserve">. </w:t>
      </w:r>
    </w:p>
    <w:p w14:paraId="34B8F458" w14:textId="362804D8" w:rsidR="007961F7" w:rsidRDefault="007961F7" w:rsidP="00E335FE">
      <w:pPr>
        <w:spacing w:after="0" w:line="360" w:lineRule="auto"/>
        <w:rPr>
          <w:bCs/>
        </w:rPr>
      </w:pPr>
    </w:p>
    <w:p w14:paraId="45D4E68D" w14:textId="355DBDA7" w:rsidR="00AC6842" w:rsidRDefault="00555CC8" w:rsidP="007A72FB">
      <w:pPr>
        <w:spacing w:after="0" w:line="360" w:lineRule="auto"/>
        <w:jc w:val="both"/>
        <w:rPr>
          <w:bCs/>
        </w:rPr>
      </w:pPr>
      <w:r>
        <w:rPr>
          <w:bCs/>
        </w:rPr>
        <w:lastRenderedPageBreak/>
        <w:t>In this study</w:t>
      </w:r>
      <w:r w:rsidR="00AC6842">
        <w:rPr>
          <w:bCs/>
        </w:rPr>
        <w:t>,</w:t>
      </w:r>
      <w:r>
        <w:rPr>
          <w:bCs/>
        </w:rPr>
        <w:t xml:space="preserve"> </w:t>
      </w:r>
      <w:r w:rsidR="00AC6842">
        <w:rPr>
          <w:bCs/>
        </w:rPr>
        <w:t>we aim to</w:t>
      </w:r>
      <w:r w:rsidR="00B465C1">
        <w:rPr>
          <w:bCs/>
        </w:rPr>
        <w:t xml:space="preserve"> address literature gaps in AMR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r w:rsidR="00C212B2">
        <w:rPr>
          <w:bCs/>
        </w:rPr>
        <w:t>livestock food-</w:t>
      </w:r>
      <w:r w:rsidR="00AC6842">
        <w:rPr>
          <w:bCs/>
        </w:rPr>
        <w:t xml:space="preserve">product </w:t>
      </w:r>
      <w:r w:rsidR="00112932">
        <w:rPr>
          <w:bCs/>
        </w:rPr>
        <w:t>importation on</w:t>
      </w:r>
      <w:r w:rsidR="00AC6842">
        <w:rPr>
          <w:bCs/>
        </w:rPr>
        <w:t xml:space="preserve"> disrupting the efficacy of local livestock antibiotic stewardship interventions,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importing country on </w:t>
      </w:r>
      <w:r w:rsidR="00AC6842">
        <w:rPr>
          <w:bCs/>
        </w:rPr>
        <w:t xml:space="preserve">imported food sources. </w:t>
      </w:r>
    </w:p>
    <w:p w14:paraId="59DB33F8" w14:textId="496598DF" w:rsidR="00B465C1" w:rsidRDefault="00B465C1" w:rsidP="007A72FB">
      <w:pPr>
        <w:spacing w:after="0" w:line="360" w:lineRule="auto"/>
        <w:jc w:val="both"/>
        <w:rPr>
          <w:bCs/>
        </w:rPr>
      </w:pPr>
    </w:p>
    <w:p w14:paraId="59A66C71" w14:textId="609B0530" w:rsidR="00B465C1" w:rsidRDefault="00B465C1" w:rsidP="007A72FB">
      <w:pPr>
        <w:spacing w:after="0" w:line="360" w:lineRule="auto"/>
        <w:jc w:val="both"/>
        <w:rPr>
          <w:bCs/>
        </w:rPr>
      </w:pPr>
    </w:p>
    <w:p w14:paraId="3622EFFC" w14:textId="755D5F73" w:rsidR="00B465C1" w:rsidRDefault="00B465C1" w:rsidP="007A72FB">
      <w:pPr>
        <w:spacing w:after="0" w:line="360" w:lineRule="auto"/>
        <w:jc w:val="both"/>
        <w:rPr>
          <w:bCs/>
        </w:rPr>
      </w:pPr>
    </w:p>
    <w:p w14:paraId="1A23B4DE" w14:textId="66DE6650" w:rsidR="00B465C1" w:rsidRDefault="00B465C1" w:rsidP="007A72FB">
      <w:pPr>
        <w:spacing w:after="0" w:line="360" w:lineRule="auto"/>
        <w:jc w:val="both"/>
        <w:rPr>
          <w:bCs/>
        </w:rPr>
      </w:pPr>
    </w:p>
    <w:p w14:paraId="7D07F7B5" w14:textId="35B6C321" w:rsidR="00B465C1" w:rsidRDefault="00B465C1" w:rsidP="007A72FB">
      <w:pPr>
        <w:spacing w:after="0" w:line="360" w:lineRule="auto"/>
        <w:jc w:val="both"/>
        <w:rPr>
          <w:bCs/>
        </w:rPr>
      </w:pPr>
    </w:p>
    <w:p w14:paraId="3F68A3E0" w14:textId="2C63AEE1" w:rsidR="00B465C1" w:rsidRDefault="00B465C1" w:rsidP="007A72FB">
      <w:pPr>
        <w:spacing w:after="0" w:line="360" w:lineRule="auto"/>
        <w:jc w:val="both"/>
        <w:rPr>
          <w:bCs/>
        </w:rPr>
      </w:pPr>
    </w:p>
    <w:p w14:paraId="0738B3CD" w14:textId="25566C95" w:rsidR="00B465C1" w:rsidRDefault="00B465C1" w:rsidP="007A72FB">
      <w:pPr>
        <w:spacing w:after="0" w:line="360" w:lineRule="auto"/>
        <w:jc w:val="both"/>
        <w:rPr>
          <w:bCs/>
        </w:rPr>
      </w:pPr>
    </w:p>
    <w:p w14:paraId="7F9050F0" w14:textId="5E7E0BF5" w:rsidR="00B465C1" w:rsidRDefault="00B465C1" w:rsidP="007A72FB">
      <w:pPr>
        <w:spacing w:after="0" w:line="360" w:lineRule="auto"/>
        <w:jc w:val="both"/>
        <w:rPr>
          <w:bCs/>
        </w:rPr>
      </w:pPr>
    </w:p>
    <w:p w14:paraId="249DB11D" w14:textId="50A069B8" w:rsidR="00B465C1" w:rsidRDefault="00B465C1" w:rsidP="007A72FB">
      <w:pPr>
        <w:spacing w:after="0" w:line="360" w:lineRule="auto"/>
        <w:jc w:val="both"/>
        <w:rPr>
          <w:bCs/>
        </w:rPr>
      </w:pPr>
    </w:p>
    <w:p w14:paraId="35049CEC" w14:textId="0D04E4DA" w:rsidR="00B465C1" w:rsidRDefault="00B465C1" w:rsidP="007A72FB">
      <w:pPr>
        <w:spacing w:after="0" w:line="360" w:lineRule="auto"/>
        <w:jc w:val="both"/>
        <w:rPr>
          <w:bCs/>
        </w:rPr>
      </w:pPr>
    </w:p>
    <w:p w14:paraId="0FCC2DE1" w14:textId="2708CA6F" w:rsidR="00B465C1" w:rsidRDefault="00B465C1" w:rsidP="007A72FB">
      <w:pPr>
        <w:spacing w:after="0" w:line="360" w:lineRule="auto"/>
        <w:jc w:val="both"/>
        <w:rPr>
          <w:bCs/>
        </w:rPr>
      </w:pPr>
    </w:p>
    <w:p w14:paraId="174AD8EC" w14:textId="2D708BFC" w:rsidR="00B465C1" w:rsidRDefault="00B465C1" w:rsidP="007A72FB">
      <w:pPr>
        <w:spacing w:after="0" w:line="360" w:lineRule="auto"/>
        <w:jc w:val="both"/>
        <w:rPr>
          <w:bCs/>
        </w:rPr>
      </w:pPr>
    </w:p>
    <w:p w14:paraId="51B70981" w14:textId="07F1597B" w:rsidR="00B465C1" w:rsidRDefault="00B465C1" w:rsidP="007A72FB">
      <w:pPr>
        <w:spacing w:after="0" w:line="360" w:lineRule="auto"/>
        <w:jc w:val="both"/>
        <w:rPr>
          <w:bCs/>
        </w:rPr>
      </w:pPr>
    </w:p>
    <w:p w14:paraId="51027A88" w14:textId="67238BBF" w:rsidR="00A4275B" w:rsidRDefault="00A4275B" w:rsidP="007A72FB">
      <w:pPr>
        <w:spacing w:after="0" w:line="360" w:lineRule="auto"/>
        <w:jc w:val="both"/>
        <w:rPr>
          <w:bCs/>
        </w:rPr>
      </w:pPr>
    </w:p>
    <w:p w14:paraId="59B4FE25" w14:textId="77777777" w:rsidR="00A4275B" w:rsidRDefault="00A4275B" w:rsidP="007A72FB">
      <w:pPr>
        <w:spacing w:after="0" w:line="360" w:lineRule="auto"/>
        <w:jc w:val="both"/>
        <w:rPr>
          <w:bCs/>
        </w:rPr>
      </w:pPr>
    </w:p>
    <w:p w14:paraId="3E1BB128" w14:textId="47682E83" w:rsidR="00B465C1" w:rsidRDefault="00B465C1" w:rsidP="007A72FB">
      <w:pPr>
        <w:spacing w:after="0" w:line="360" w:lineRule="auto"/>
        <w:jc w:val="both"/>
        <w:rPr>
          <w:bCs/>
        </w:rPr>
      </w:pPr>
    </w:p>
    <w:p w14:paraId="02CD2F69" w14:textId="14A07E21" w:rsidR="00B465C1" w:rsidRDefault="00B465C1" w:rsidP="007A72FB">
      <w:pPr>
        <w:spacing w:after="0" w:line="360" w:lineRule="auto"/>
        <w:jc w:val="both"/>
        <w:rPr>
          <w:bCs/>
        </w:rPr>
      </w:pPr>
    </w:p>
    <w:p w14:paraId="6C136731" w14:textId="3F6AC447" w:rsidR="00B465C1" w:rsidRDefault="00B465C1" w:rsidP="007A72FB">
      <w:pPr>
        <w:spacing w:after="0" w:line="360" w:lineRule="auto"/>
        <w:jc w:val="both"/>
        <w:rPr>
          <w:bCs/>
        </w:rPr>
      </w:pPr>
    </w:p>
    <w:p w14:paraId="7DF8ACD5" w14:textId="480B6DCD" w:rsidR="00B465C1" w:rsidRDefault="00B465C1" w:rsidP="007A72FB">
      <w:pPr>
        <w:spacing w:after="0" w:line="360" w:lineRule="auto"/>
        <w:jc w:val="both"/>
        <w:rPr>
          <w:bCs/>
        </w:rPr>
      </w:pPr>
    </w:p>
    <w:p w14:paraId="79802637" w14:textId="4446F687" w:rsidR="00B465C1" w:rsidRDefault="00B465C1" w:rsidP="007A72FB">
      <w:pPr>
        <w:spacing w:after="0" w:line="360" w:lineRule="auto"/>
        <w:jc w:val="both"/>
        <w:rPr>
          <w:bCs/>
        </w:rPr>
      </w:pPr>
    </w:p>
    <w:p w14:paraId="716C7E45" w14:textId="6A35061D" w:rsidR="00B465C1" w:rsidRDefault="00B465C1" w:rsidP="007A72FB">
      <w:pPr>
        <w:spacing w:after="0" w:line="360" w:lineRule="auto"/>
        <w:jc w:val="both"/>
        <w:rPr>
          <w:bCs/>
        </w:rPr>
      </w:pPr>
    </w:p>
    <w:p w14:paraId="0F3879DA" w14:textId="04A76894" w:rsidR="00B465C1" w:rsidRDefault="00B465C1" w:rsidP="007A72FB">
      <w:pPr>
        <w:spacing w:after="0" w:line="360" w:lineRule="auto"/>
        <w:jc w:val="both"/>
        <w:rPr>
          <w:bCs/>
        </w:rPr>
      </w:pPr>
    </w:p>
    <w:p w14:paraId="2563BB14" w14:textId="7E0CA26A" w:rsidR="00B465C1" w:rsidRDefault="00B465C1" w:rsidP="007A72FB">
      <w:pPr>
        <w:spacing w:after="0" w:line="360" w:lineRule="auto"/>
        <w:jc w:val="both"/>
        <w:rPr>
          <w:bCs/>
        </w:rPr>
      </w:pPr>
    </w:p>
    <w:p w14:paraId="45BFA688" w14:textId="64648A24" w:rsidR="00B465C1" w:rsidRDefault="00B465C1" w:rsidP="007A72FB">
      <w:pPr>
        <w:spacing w:after="0" w:line="360" w:lineRule="auto"/>
        <w:jc w:val="both"/>
        <w:rPr>
          <w:bCs/>
        </w:rPr>
      </w:pPr>
    </w:p>
    <w:p w14:paraId="00148603" w14:textId="2E65C907" w:rsidR="00B465C1" w:rsidRDefault="00B465C1" w:rsidP="007A72FB">
      <w:pPr>
        <w:spacing w:after="0" w:line="360" w:lineRule="auto"/>
        <w:jc w:val="both"/>
        <w:rPr>
          <w:bCs/>
        </w:rPr>
      </w:pPr>
    </w:p>
    <w:p w14:paraId="11DDE445" w14:textId="088ADA33" w:rsidR="00B465C1" w:rsidRDefault="00B465C1" w:rsidP="007A72FB">
      <w:pPr>
        <w:spacing w:after="0" w:line="360" w:lineRule="auto"/>
        <w:jc w:val="both"/>
        <w:rPr>
          <w:bCs/>
        </w:rPr>
      </w:pP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304F4A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t>
      </w:r>
      <w:proofErr w:type="gramStart"/>
      <w:r w:rsidR="00EB3501">
        <w:rPr>
          <w:bCs/>
        </w:rPr>
        <w:t>were not modelled</w:t>
      </w:r>
      <w:proofErr w:type="gramEnd"/>
      <w:r w:rsidR="00EB3501">
        <w:rPr>
          <w:bCs/>
        </w:rPr>
        <w:t xml:space="preserve">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10"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n was made due to the influence of caecum carriage has on carcass contamination following accidental perforation during slaughter (</w:t>
      </w:r>
      <w:r w:rsidR="008922BC" w:rsidRPr="008922BC">
        <w:rPr>
          <w:b/>
          <w:highlight w:val="yellow"/>
        </w:rPr>
        <w:t>cite</w:t>
      </w:r>
      <w:r w:rsidR="008922BC">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can be found in the 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11"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2"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2"/>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with the relative share of import being distributed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5E1CA6F2"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w:t>
      </w:r>
      <w:r w:rsidR="00D74B79">
        <w:rPr>
          <w:bCs/>
        </w:rPr>
        <w:t>,</w:t>
      </w:r>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in how import was divided across importing countries increased the level of uncertainty in the efficacy of curtailment following changes to</w:t>
      </w:r>
      <w:r w:rsidR="00D74B79">
        <w:rPr>
          <w:bCs/>
        </w:rPr>
        <w:t xml:space="preserve"> import</w:t>
      </w:r>
      <w:r w:rsidR="00B46C2F">
        <w:rPr>
          <w:bCs/>
        </w:rPr>
        <w:t xml:space="preserve">.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2B9269DD"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may disrupt domestic </w:t>
      </w:r>
      <w:r>
        <w:rPr>
          <w:bCs/>
        </w:rPr>
        <w:t xml:space="preserve">AMR </w:t>
      </w:r>
      <w:r w:rsidR="000D4AB7">
        <w:rPr>
          <w:bCs/>
        </w:rPr>
        <w:t xml:space="preserve">interventions such as 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which is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the extent of foodborne disease attributable to imported sources</w:t>
      </w:r>
      <w:r w:rsidR="003E0E99">
        <w:rPr>
          <w:bCs/>
        </w:rPr>
        <w:t xml:space="preserve"> and had a greater effect on </w:t>
      </w:r>
      <w:r w:rsidR="004C3C82">
        <w:rPr>
          <w:bCs/>
        </w:rPr>
        <w:t>disrupt</w:t>
      </w:r>
      <w:r w:rsidR="003E0E99">
        <w:rPr>
          <w:bCs/>
        </w:rPr>
        <w:t>ing</w:t>
      </w:r>
      <w:r w:rsidR="004C3C82">
        <w:rPr>
          <w:bCs/>
        </w:rPr>
        <w:t xml:space="preserve"> the efficacy of local antibiotic </w:t>
      </w:r>
      <w:r w:rsidR="0098118E">
        <w:rPr>
          <w:bCs/>
        </w:rPr>
        <w:t xml:space="preserve">curtailment. </w:t>
      </w:r>
      <w:r w:rsidR="003E0E99">
        <w:rPr>
          <w:bCs/>
        </w:rPr>
        <w:t>I</w:t>
      </w:r>
      <w:r w:rsidR="004C3C82">
        <w:rPr>
          <w:bCs/>
        </w:rPr>
        <w:t>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w:t>
      </w:r>
      <w:r w:rsidR="004D37AC">
        <w:rPr>
          <w:bCs/>
        </w:rPr>
        <w:lastRenderedPageBreak/>
        <w:t xml:space="preserve">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sidRPr="00DB55DE">
        <w:rPr>
          <w:bCs/>
          <w:highlight w:val="yellow"/>
        </w:rPr>
        <w:t>The interruption of local disease dynamics through external transmission pressures is a known phenomenon in dynamic modelling literature (</w:t>
      </w:r>
      <w:r w:rsidRPr="00DB55DE">
        <w:rPr>
          <w:b/>
          <w:bCs/>
          <w:highlight w:val="yellow"/>
        </w:rPr>
        <w:t>cite</w:t>
      </w:r>
      <w:r w:rsidRPr="00DB55DE">
        <w:rPr>
          <w:bCs/>
          <w:highlight w:val="yellow"/>
        </w:rPr>
        <w:t>). For example, studies have identified that interaction between sub-populations and spill over of AMR may drastically reduce the efficacy of local curtailment interventions</w:t>
      </w:r>
      <w:r w:rsidR="00496C83" w:rsidRPr="00DB55DE">
        <w:rPr>
          <w:bCs/>
          <w:highlight w:val="yellow"/>
        </w:rPr>
        <w:t>,</w:t>
      </w:r>
      <w:r w:rsidRPr="00DB55DE">
        <w:rPr>
          <w:bCs/>
          <w:highlight w:val="yellow"/>
        </w:rPr>
        <w:t xml:space="preserve"> and with meta</w:t>
      </w:r>
      <w:r w:rsidR="004D37AC" w:rsidRPr="00DB55DE">
        <w:rPr>
          <w:bCs/>
          <w:highlight w:val="yellow"/>
        </w:rPr>
        <w:t>-</w:t>
      </w:r>
      <w:r w:rsidRPr="00DB55DE">
        <w:rPr>
          <w:bCs/>
          <w:highlight w:val="yellow"/>
        </w:rPr>
        <w:t xml:space="preserve">population models also predicting strain coexistence due to the interaction and maintenance of AMR due to </w:t>
      </w:r>
      <w:r w:rsidR="00DA3796" w:rsidRPr="00DB55DE">
        <w:rPr>
          <w:bCs/>
          <w:highlight w:val="yellow"/>
        </w:rPr>
        <w:t xml:space="preserve">subpopulation </w:t>
      </w:r>
      <w:r w:rsidRPr="00DB55DE">
        <w:rPr>
          <w:bCs/>
          <w:highlight w:val="yellow"/>
        </w:rPr>
        <w:t>interaction (</w:t>
      </w:r>
      <w:r w:rsidRPr="00DB55DE">
        <w:rPr>
          <w:b/>
          <w:bCs/>
          <w:highlight w:val="yellow"/>
        </w:rPr>
        <w:t>cite</w:t>
      </w:r>
      <w:r w:rsidRPr="00DB55DE">
        <w:rPr>
          <w:bCs/>
          <w:highlight w:val="yellow"/>
        </w:rPr>
        <w:t>)</w:t>
      </w:r>
      <w:r w:rsidR="00DA3796" w:rsidRPr="00DB55DE">
        <w:rPr>
          <w:bCs/>
          <w:highlight w:val="yellow"/>
        </w:rPr>
        <w:t>.</w:t>
      </w:r>
      <w:r w:rsidR="00496C83" w:rsidRPr="00DB55DE">
        <w:rPr>
          <w:bCs/>
          <w:highlight w:val="yellow"/>
        </w:rPr>
        <w:t xml:space="preserve"> However, this study places these interactions in the context of antibiotic-resistance in imported foodborne pathogens and the potential interruption of one-health interventions.</w:t>
      </w:r>
      <w:r w:rsidR="00496C83">
        <w:rPr>
          <w:bCs/>
        </w:rPr>
        <w:t xml:space="preserve">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F26DC64" w14:textId="4999246A" w:rsidR="003E0E99"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(EoC)</w:t>
      </w:r>
      <w:r>
        <w:rPr>
          <w:bCs/>
        </w:rPr>
        <w:t xml:space="preserve"> was a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EoC. </w:t>
      </w:r>
      <w:r w:rsidR="007051A5">
        <w:rPr>
          <w:bCs/>
        </w:rPr>
        <w:t xml:space="preserve">This suggests that increasing the extent of UK food products from imported sources may result in a disruption in the efficacy of local livestock curtailment strategies. </w:t>
      </w:r>
      <w:r w:rsidR="003E0E99">
        <w:rPr>
          <w:bCs/>
        </w:rPr>
        <w:t xml:space="preserve">This is problem with clear ramifications for public health policy, with the UK among a number of countries seeking to increase the reliance on non-domestic food production. </w:t>
      </w:r>
    </w:p>
    <w:p w14:paraId="1316E3C2" w14:textId="003CC766" w:rsidR="003E0E99" w:rsidRPr="003E0E99" w:rsidRDefault="003E0E99" w:rsidP="003E0E99">
      <w:pPr>
        <w:pStyle w:val="ListParagraph"/>
        <w:numPr>
          <w:ilvl w:val="0"/>
          <w:numId w:val="34"/>
        </w:numPr>
        <w:spacing w:after="0" w:line="360" w:lineRule="auto"/>
        <w:jc w:val="both"/>
        <w:rPr>
          <w:bCs/>
        </w:rPr>
      </w:pPr>
      <w:r>
        <w:rPr>
          <w:bCs/>
        </w:rPr>
        <w:t xml:space="preserve">Focus must be placed on ensuring good biosecurity and surveillance if this is the case. </w:t>
      </w:r>
    </w:p>
    <w:p w14:paraId="6E0074FB" w14:textId="2294B879" w:rsidR="003E0E99" w:rsidRDefault="003E0E99" w:rsidP="007051A5">
      <w:pPr>
        <w:spacing w:after="0" w:line="360" w:lineRule="auto"/>
        <w:jc w:val="both"/>
        <w:rPr>
          <w:bCs/>
        </w:rPr>
      </w:pPr>
    </w:p>
    <w:p w14:paraId="120B9D6A" w14:textId="13605CCF" w:rsidR="00B072CB" w:rsidRDefault="00B16943" w:rsidP="00331CB5">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 xml:space="preserve">ψ. High levels of domestic food contamination relative to contamination on imports results in a more positive EoC/ψ relationship (Figure X; green area). Conversely,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EoC/ψ. Further increases to η result in greater levels of domestic contamination relative to import and therefore the EoC remains high for a large range of import values due to the high levels of attributable foodborne disease to domestic sources. </w:t>
      </w:r>
    </w:p>
    <w:p w14:paraId="72D52F2A" w14:textId="6923931E" w:rsidR="00990C85" w:rsidRPr="00990C85" w:rsidRDefault="00990C85" w:rsidP="00990C85">
      <w:pPr>
        <w:pStyle w:val="ListParagraph"/>
        <w:numPr>
          <w:ilvl w:val="0"/>
          <w:numId w:val="33"/>
        </w:numPr>
        <w:spacing w:after="0" w:line="360" w:lineRule="auto"/>
        <w:jc w:val="both"/>
        <w:rPr>
          <w:rFonts w:cstheme="minorHAnsi"/>
          <w:bCs/>
        </w:rPr>
      </w:pPr>
      <w:r w:rsidRPr="00990C85">
        <w:rPr>
          <w:rFonts w:cstheme="minorHAnsi"/>
          <w:bCs/>
        </w:rPr>
        <w:lastRenderedPageBreak/>
        <w:t xml:space="preserve">This </w:t>
      </w:r>
      <w:r>
        <w:rPr>
          <w:rFonts w:cstheme="minorHAnsi"/>
          <w:bCs/>
        </w:rPr>
        <w:t xml:space="preserve">suggests that a case study other than the UK would result in a different relationship – if it had more contamiantion then unintuitively – with the same level of import contamiantion increasing import would actually be better  </w:t>
      </w:r>
    </w:p>
    <w:p w14:paraId="21ABC349" w14:textId="5654A70F" w:rsidR="00275E05" w:rsidRDefault="00275E05" w:rsidP="000D242E">
      <w:pPr>
        <w:spacing w:after="0" w:line="360" w:lineRule="auto"/>
        <w:rPr>
          <w:bCs/>
        </w:rPr>
      </w:pPr>
    </w:p>
    <w:p w14:paraId="255514C7" w14:textId="36BA3D91" w:rsidR="008F614E" w:rsidRDefault="000017CA" w:rsidP="008F614E">
      <w:pPr>
        <w:spacing w:after="0" w:line="360" w:lineRule="auto"/>
        <w:jc w:val="both"/>
        <w:rPr>
          <w:rFonts w:cstheme="minorHAnsi"/>
          <w:bCs/>
        </w:rPr>
      </w:pPr>
      <w:r>
        <w:rPr>
          <w:bCs/>
        </w:rPr>
        <w:t>Interestingly</w:t>
      </w:r>
      <w:r w:rsidR="00331CB5">
        <w:rPr>
          <w:bCs/>
        </w:rPr>
        <w:t>, there is also the existence of a saturation effect with the relationship between EoC/</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EoC/ψ </w:t>
      </w:r>
      <w:r w:rsidR="008F614E">
        <w:rPr>
          <w:rFonts w:cstheme="minorHAnsi"/>
          <w:bCs/>
        </w:rPr>
        <w:t>relationship where the efficacy of curtailment is at its worst possible relationship with increases to import ().</w:t>
      </w:r>
    </w:p>
    <w:p w14:paraId="21D8AF48" w14:textId="5A7EA15B" w:rsidR="003E0E99" w:rsidRPr="003E0E99" w:rsidRDefault="003E0E99" w:rsidP="003E0E99">
      <w:pPr>
        <w:pStyle w:val="ListParagraph"/>
        <w:numPr>
          <w:ilvl w:val="0"/>
          <w:numId w:val="33"/>
        </w:numPr>
        <w:spacing w:after="0" w:line="360" w:lineRule="auto"/>
        <w:jc w:val="both"/>
        <w:rPr>
          <w:rFonts w:cstheme="minorHAnsi"/>
          <w:bCs/>
        </w:rPr>
      </w:pPr>
      <w:r>
        <w:rPr>
          <w:rFonts w:cstheme="minorHAnsi"/>
          <w:bCs/>
        </w:rPr>
        <w:t xml:space="preserve">What does this mean? I am just describing a result here </w:t>
      </w:r>
    </w:p>
    <w:p w14:paraId="5DBEFE68" w14:textId="77F02D7E" w:rsidR="006338E5" w:rsidRDefault="006338E5" w:rsidP="006338E5">
      <w:pPr>
        <w:spacing w:after="0" w:line="360" w:lineRule="auto"/>
        <w:rPr>
          <w:bCs/>
        </w:rPr>
      </w:pPr>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10D419BC" w14:textId="573520C0" w:rsidR="00D74B79" w:rsidRDefault="00D74B79" w:rsidP="006338E5">
      <w:pPr>
        <w:spacing w:after="0" w:line="360" w:lineRule="auto"/>
      </w:pPr>
    </w:p>
    <w:p w14:paraId="02537135" w14:textId="3E795850" w:rsidR="006338E5" w:rsidRDefault="003E0E99" w:rsidP="007C5F0A">
      <w:pPr>
        <w:spacing w:after="0" w:line="360" w:lineRule="auto"/>
        <w:jc w:val="both"/>
      </w:pPr>
      <w:r>
        <w:t xml:space="preserve">Interestingly heterogeneity in the relative share of import had little effect on the average effect of import on contamination. </w:t>
      </w:r>
      <w:r w:rsidR="00AB26D3">
        <w:t xml:space="preserve">This can likely be attributed to sampling distributions doing little to change the underlying average level of contamination and resistance across importing countries – which as suggested in the figures is the primary phenomenom altering this relationship (figure). </w:t>
      </w:r>
      <w:r w:rsidR="007C5F0A">
        <w:t>Instead,</w:t>
      </w:r>
      <w:r w:rsidR="00AB26D3">
        <w:t xml:space="preserve"> this </w:t>
      </w:r>
      <w:r w:rsidR="007C5F0A">
        <w:t>heterogeneity</w:t>
      </w:r>
      <w:r w:rsidR="00AB26D3">
        <w:t xml:space="preserve"> in import sharing affects the variation in response encountered when changing import. This relationship is due to the star-</w:t>
      </w:r>
      <w:r w:rsidR="007C5F0A">
        <w:t>network</w:t>
      </w:r>
      <w:r w:rsidR="00AB26D3">
        <w:t xml:space="preserve"> shape of the model – with human salmonellosis 100% directly reliant on the relationship between </w:t>
      </w:r>
      <w:proofErr w:type="spellStart"/>
      <w:r w:rsidR="00AB26D3">
        <w:t>fracimp</w:t>
      </w:r>
      <w:proofErr w:type="spellEnd"/>
      <w:r w:rsidR="00AB26D3">
        <w:t>*</w:t>
      </w:r>
      <w:proofErr w:type="spellStart"/>
      <w:r w:rsidR="00AB26D3">
        <w:t>PropResImp</w:t>
      </w:r>
      <w:proofErr w:type="spellEnd"/>
      <w:r w:rsidR="00AB26D3">
        <w:t xml:space="preserve">*Share. We have seen in AMR transmission with more complex non-star network shapes – then heterogeneity may have more of an effect </w:t>
      </w:r>
      <w:r w:rsidR="007C5F0A">
        <w:t>on</w:t>
      </w:r>
      <w:r w:rsidR="00AB26D3">
        <w:t xml:space="preserve"> AMR dynamics. However, it is important to note that this heterogeneity still has clear public health implications, with</w:t>
      </w:r>
      <w:r w:rsidR="007C5F0A">
        <w:t xml:space="preserve"> large amount of variations in the Psi/</w:t>
      </w:r>
      <w:proofErr w:type="spellStart"/>
      <w:r w:rsidR="007C5F0A">
        <w:t>Eoc</w:t>
      </w:r>
      <w:proofErr w:type="spellEnd"/>
      <w:r w:rsidR="007C5F0A">
        <w:t xml:space="preserve"> relationship with large amount of variation. I</w:t>
      </w:r>
      <w:r w:rsidR="00AB26D3">
        <w:t>t is</w:t>
      </w:r>
      <w:r w:rsidR="007C5F0A">
        <w:t xml:space="preserve"> therefore</w:t>
      </w:r>
      <w:r w:rsidR="00AB26D3">
        <w:t xml:space="preserve"> critical to identify the level of contamiantion of who you are actually importing from (if it is low then no effects), but if it is high then there could be large effects</w:t>
      </w:r>
      <w:r w:rsidR="007C5F0A">
        <w:t xml:space="preserve">. </w:t>
      </w:r>
    </w:p>
    <w:p w14:paraId="503DCBD4" w14:textId="0FE8D8A0" w:rsidR="00234A7F" w:rsidRDefault="00234A7F" w:rsidP="00234A7F">
      <w:pPr>
        <w:pStyle w:val="ListParagraph"/>
        <w:numPr>
          <w:ilvl w:val="0"/>
          <w:numId w:val="33"/>
        </w:numPr>
        <w:spacing w:after="0" w:line="360" w:lineRule="auto"/>
        <w:jc w:val="both"/>
        <w:rPr>
          <w:rFonts w:cstheme="minorHAnsi"/>
          <w:b/>
          <w:bCs/>
        </w:rPr>
      </w:pPr>
      <w:r>
        <w:rPr>
          <w:rFonts w:cstheme="minorHAnsi"/>
          <w:b/>
          <w:bCs/>
        </w:rPr>
        <w:t xml:space="preserve">It is interesting to note that this also has ramifications for the trade network as countries with trade networks that area spread out are more resilient – so if you have a skewed network then you could be more at risk from shocks – </w:t>
      </w:r>
    </w:p>
    <w:p w14:paraId="1CFC89AA" w14:textId="4B5C0D71" w:rsidR="00234A7F" w:rsidRPr="00234A7F" w:rsidRDefault="00234A7F" w:rsidP="00234A7F">
      <w:pPr>
        <w:pStyle w:val="ListParagraph"/>
        <w:numPr>
          <w:ilvl w:val="1"/>
          <w:numId w:val="33"/>
        </w:numPr>
        <w:spacing w:after="0" w:line="360" w:lineRule="auto"/>
        <w:jc w:val="both"/>
        <w:rPr>
          <w:rFonts w:cstheme="minorHAnsi"/>
          <w:b/>
          <w:bCs/>
        </w:rPr>
      </w:pPr>
      <w:r w:rsidRPr="00234A7F">
        <w:rPr>
          <w:rFonts w:cstheme="minorHAnsi"/>
          <w:b/>
          <w:bCs/>
        </w:rPr>
        <w:t xml:space="preserve">Skewed from low import networks </w:t>
      </w:r>
    </w:p>
    <w:p w14:paraId="257C905A" w14:textId="6573E95C" w:rsidR="00234A7F" w:rsidRPr="00234A7F" w:rsidRDefault="00234A7F" w:rsidP="00234A7F">
      <w:pPr>
        <w:pStyle w:val="ListParagraph"/>
        <w:numPr>
          <w:ilvl w:val="1"/>
          <w:numId w:val="33"/>
        </w:numPr>
        <w:spacing w:after="0" w:line="360" w:lineRule="auto"/>
        <w:jc w:val="both"/>
        <w:rPr>
          <w:rFonts w:cstheme="minorHAnsi"/>
          <w:b/>
          <w:bCs/>
        </w:rPr>
      </w:pPr>
      <w:r w:rsidRPr="00234A7F">
        <w:rPr>
          <w:rFonts w:cstheme="minorHAnsi"/>
          <w:b/>
          <w:bCs/>
        </w:rPr>
        <w:t>Or uniform across many low contamination</w:t>
      </w:r>
      <w:r>
        <w:rPr>
          <w:rFonts w:cstheme="minorHAnsi"/>
          <w:b/>
          <w:bCs/>
        </w:rPr>
        <w:t xml:space="preserve"> imports</w:t>
      </w:r>
      <w:r w:rsidRPr="00234A7F">
        <w:rPr>
          <w:rFonts w:cstheme="minorHAnsi"/>
          <w:b/>
          <w:bCs/>
        </w:rPr>
        <w:t xml:space="preserve"> </w:t>
      </w:r>
    </w:p>
    <w:p w14:paraId="417DA740" w14:textId="15F6259B" w:rsidR="006338E5" w:rsidRDefault="006338E5" w:rsidP="008F614E">
      <w:pPr>
        <w:spacing w:after="0" w:line="360" w:lineRule="auto"/>
        <w:jc w:val="both"/>
        <w:rPr>
          <w:rFonts w:cstheme="minorHAnsi"/>
          <w:bCs/>
        </w:rPr>
      </w:pPr>
    </w:p>
    <w:p w14:paraId="723FD521" w14:textId="0B897E2F" w:rsidR="00A418FB" w:rsidRDefault="00364702" w:rsidP="008F614E">
      <w:pPr>
        <w:spacing w:after="0" w:line="360" w:lineRule="auto"/>
        <w:jc w:val="both"/>
        <w:rPr>
          <w:rFonts w:cstheme="minorHAnsi"/>
          <w:bCs/>
        </w:rPr>
      </w:pPr>
      <w:r>
        <w:rPr>
          <w:rFonts w:cstheme="minorHAnsi"/>
          <w:bCs/>
        </w:rPr>
        <w:t xml:space="preserve">The results of this study have a clear policy implication – that the extent of average overall/ampicillin-resistant </w:t>
      </w:r>
      <w:r w:rsidRPr="00D20281">
        <w:rPr>
          <w:rFonts w:cstheme="minorHAnsi"/>
          <w:bCs/>
          <w:i/>
        </w:rPr>
        <w:t>Salmonella</w:t>
      </w:r>
      <w:r>
        <w:rPr>
          <w:rFonts w:cstheme="minorHAnsi"/>
          <w:bCs/>
        </w:rPr>
        <w:t xml:space="preserve"> spp. </w:t>
      </w:r>
      <w:r w:rsidR="00D20281">
        <w:rPr>
          <w:rFonts w:cstheme="minorHAnsi"/>
          <w:bCs/>
        </w:rPr>
        <w:t>contamination</w:t>
      </w:r>
      <w:r>
        <w:rPr>
          <w:rFonts w:cstheme="minorHAnsi"/>
          <w:bCs/>
        </w:rPr>
        <w:t xml:space="preserve"> </w:t>
      </w:r>
      <w:r w:rsidR="00D20281">
        <w:rPr>
          <w:rFonts w:cstheme="minorHAnsi"/>
          <w:bCs/>
        </w:rPr>
        <w:t xml:space="preserve">should be </w:t>
      </w:r>
      <w:r>
        <w:rPr>
          <w:rFonts w:cstheme="minorHAnsi"/>
          <w:bCs/>
        </w:rPr>
        <w:t>decreased as lo</w:t>
      </w:r>
      <w:r w:rsidR="00D20281">
        <w:rPr>
          <w:rFonts w:cstheme="minorHAnsi"/>
          <w:bCs/>
        </w:rPr>
        <w:t>w as possible if changes to</w:t>
      </w:r>
      <w:r>
        <w:rPr>
          <w:rFonts w:cstheme="minorHAnsi"/>
          <w:bCs/>
        </w:rPr>
        <w:t xml:space="preserve"> </w:t>
      </w:r>
      <w:r w:rsidR="00A35E99">
        <w:rPr>
          <w:rFonts w:cstheme="minorHAnsi"/>
          <w:bCs/>
        </w:rPr>
        <w:t xml:space="preserve">the extent of </w:t>
      </w:r>
      <w:r>
        <w:rPr>
          <w:rFonts w:cstheme="minorHAnsi"/>
          <w:bCs/>
        </w:rPr>
        <w:t xml:space="preserve">importation are </w:t>
      </w:r>
      <w:r w:rsidR="00D20281">
        <w:rPr>
          <w:rFonts w:cstheme="minorHAnsi"/>
          <w:bCs/>
        </w:rPr>
        <w:t>desired</w:t>
      </w:r>
      <w:r>
        <w:rPr>
          <w:rFonts w:cstheme="minorHAnsi"/>
          <w:bCs/>
        </w:rPr>
        <w:t xml:space="preserve">. Or at the very least, reducing </w:t>
      </w:r>
      <w:r w:rsidR="00D20281">
        <w:rPr>
          <w:rFonts w:cstheme="minorHAnsi"/>
          <w:bCs/>
        </w:rPr>
        <w:t>contamination</w:t>
      </w:r>
      <w:r>
        <w:rPr>
          <w:rFonts w:cstheme="minorHAnsi"/>
          <w:bCs/>
        </w:rPr>
        <w:t xml:space="preserve"> to a</w:t>
      </w:r>
      <w:r w:rsidR="00D20281">
        <w:rPr>
          <w:rFonts w:cstheme="minorHAnsi"/>
          <w:bCs/>
        </w:rPr>
        <w:t>n</w:t>
      </w:r>
      <w:r>
        <w:rPr>
          <w:rFonts w:cstheme="minorHAnsi"/>
          <w:bCs/>
        </w:rPr>
        <w:t xml:space="preserve"> </w:t>
      </w:r>
      <w:r w:rsidR="00A35E99">
        <w:rPr>
          <w:rFonts w:cstheme="minorHAnsi"/>
          <w:bCs/>
        </w:rPr>
        <w:t>equal</w:t>
      </w:r>
      <w:r>
        <w:rPr>
          <w:rFonts w:cstheme="minorHAnsi"/>
          <w:bCs/>
        </w:rPr>
        <w:t xml:space="preserve"> level seen on domestic fo</w:t>
      </w:r>
      <w:r w:rsidR="00A35E99">
        <w:rPr>
          <w:rFonts w:cstheme="minorHAnsi"/>
          <w:bCs/>
        </w:rPr>
        <w:t xml:space="preserve">od products to </w:t>
      </w:r>
      <w:r w:rsidR="00D20281">
        <w:rPr>
          <w:rFonts w:cstheme="minorHAnsi"/>
          <w:bCs/>
        </w:rPr>
        <w:t>preserve</w:t>
      </w:r>
      <w:r>
        <w:rPr>
          <w:rFonts w:cstheme="minorHAnsi"/>
          <w:bCs/>
        </w:rPr>
        <w:t xml:space="preserve"> the efficacy of curtailment of local livestock antibiotic </w:t>
      </w:r>
      <w:r>
        <w:rPr>
          <w:rFonts w:cstheme="minorHAnsi"/>
          <w:bCs/>
        </w:rPr>
        <w:lastRenderedPageBreak/>
        <w:t xml:space="preserve">stewardship on human health.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also within domestic livestock (</w:t>
      </w:r>
      <w:r w:rsidR="00C42765" w:rsidRPr="00C42765">
        <w:rPr>
          <w:rFonts w:cstheme="minorHAnsi"/>
          <w:b/>
          <w:bCs/>
          <w:highlight w:val="yellow"/>
        </w:rPr>
        <w:t>cite</w:t>
      </w:r>
      <w:r w:rsidR="00C42765">
        <w:rPr>
          <w:rFonts w:cstheme="minorHAnsi"/>
          <w:bCs/>
        </w:rPr>
        <w:t xml:space="preserve">). </w:t>
      </w:r>
    </w:p>
    <w:p w14:paraId="34BA90D7" w14:textId="77777777" w:rsidR="00F26658" w:rsidRDefault="00F26658" w:rsidP="008F614E">
      <w:pPr>
        <w:spacing w:after="0" w:line="360" w:lineRule="auto"/>
        <w:jc w:val="both"/>
        <w:rPr>
          <w:rFonts w:cstheme="minorHAnsi"/>
          <w:bCs/>
        </w:rPr>
      </w:pPr>
    </w:p>
    <w:p w14:paraId="172ED4D2" w14:textId="7C9E3A91" w:rsidR="00357800" w:rsidRDefault="00C42765" w:rsidP="008F614E">
      <w:pPr>
        <w:spacing w:after="0" w:line="360" w:lineRule="auto"/>
        <w:jc w:val="both"/>
        <w:rPr>
          <w:rFonts w:cstheme="minorHAnsi"/>
          <w:bCs/>
        </w:rPr>
      </w:pPr>
      <w:r>
        <w:rPr>
          <w:rFonts w:cstheme="minorHAnsi"/>
          <w:bCs/>
        </w:rPr>
        <w:t xml:space="preserve">Examples of surveillance </w:t>
      </w:r>
      <w:r w:rsidR="00922946">
        <w:rPr>
          <w:rFonts w:cstheme="minorHAnsi"/>
          <w:bCs/>
        </w:rPr>
        <w:t xml:space="preserve">(and interventions to reduce contamination) </w:t>
      </w:r>
      <w:r>
        <w:rPr>
          <w:rFonts w:cstheme="minorHAnsi"/>
          <w:bCs/>
        </w:rPr>
        <w:t xml:space="preserve">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9" w:history="1">
        <w:r w:rsidR="00BD7B5D">
          <w:rPr>
            <w:rStyle w:val="Hyperlink"/>
          </w:rPr>
          <w:t>Third country approval guidelines (europa.eu)</w:t>
        </w:r>
      </w:hyperlink>
      <w:r w:rsidR="00BD7B5D">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systems such as the RASFF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Policy to reduce import contamination can also be introduced at a macro-scale, controlling which countries to form import based trade connections with based on the extent of contamination on food products</w:t>
      </w:r>
      <w:r w:rsidR="00C03FAA">
        <w:rPr>
          <w:rFonts w:cstheme="minorHAnsi"/>
          <w:bCs/>
        </w:rPr>
        <w:t xml:space="preserve"> (</w:t>
      </w:r>
      <w:r w:rsidR="00C03FAA" w:rsidRPr="00357800">
        <w:rPr>
          <w:rFonts w:cstheme="minorHAnsi"/>
          <w:b/>
          <w:bCs/>
          <w:highlight w:val="yellow"/>
        </w:rPr>
        <w:t>cite</w:t>
      </w:r>
      <w:r w:rsidR="00C03FAA">
        <w:rPr>
          <w:rFonts w:cstheme="minorHAnsi"/>
          <w:bCs/>
        </w:rPr>
        <w:t>)</w:t>
      </w:r>
      <w:r w:rsidR="00357800">
        <w:rPr>
          <w:rFonts w:cstheme="minorHAnsi"/>
          <w:bCs/>
        </w:rPr>
        <w:t>. The clearest example of this includes EU differentiation of food product “trade” between member states and “imports/introductions” from non-member state “third countries” with a higher amount of 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can be kept at low levels to avoid potential decreases to the efficacy of curtailment following changes in food importation. </w:t>
      </w:r>
    </w:p>
    <w:p w14:paraId="0BE057CC" w14:textId="6332C191" w:rsidR="0075259D" w:rsidRDefault="0075259D" w:rsidP="0075259D">
      <w:pPr>
        <w:pStyle w:val="ListParagraph"/>
        <w:numPr>
          <w:ilvl w:val="0"/>
          <w:numId w:val="32"/>
        </w:numPr>
        <w:spacing w:after="0" w:line="360" w:lineRule="auto"/>
        <w:jc w:val="both"/>
        <w:rPr>
          <w:rFonts w:cstheme="minorHAnsi"/>
          <w:bCs/>
        </w:rPr>
      </w:pPr>
      <w:r>
        <w:rPr>
          <w:rFonts w:cstheme="minorHAnsi"/>
          <w:bCs/>
        </w:rPr>
        <w:t>Maybe relate this more to the study – how this will push down contamination or help us better understand the balance between imported and domestic contaminants</w:t>
      </w:r>
    </w:p>
    <w:p w14:paraId="2D38B2A4" w14:textId="1B151D32" w:rsidR="004756D7" w:rsidRPr="00666796" w:rsidRDefault="004756D7" w:rsidP="0075259D">
      <w:pPr>
        <w:pStyle w:val="ListParagraph"/>
        <w:numPr>
          <w:ilvl w:val="0"/>
          <w:numId w:val="32"/>
        </w:numPr>
        <w:spacing w:after="0" w:line="360" w:lineRule="auto"/>
        <w:jc w:val="both"/>
        <w:rPr>
          <w:rFonts w:cstheme="minorHAnsi"/>
          <w:bCs/>
        </w:rPr>
      </w:pPr>
      <w:r>
        <w:rPr>
          <w:rFonts w:cstheme="minorHAnsi"/>
          <w:bCs/>
        </w:rPr>
        <w:t xml:space="preserve">Also EU wide policy to drive down resistance and </w:t>
      </w:r>
      <w:proofErr w:type="spellStart"/>
      <w:r>
        <w:rPr>
          <w:rFonts w:cstheme="minorHAnsi"/>
          <w:bCs/>
        </w:rPr>
        <w:t>contamiantion</w:t>
      </w:r>
      <w:proofErr w:type="spellEnd"/>
      <w:r>
        <w:rPr>
          <w:rFonts w:cstheme="minorHAnsi"/>
          <w:bCs/>
        </w:rPr>
        <w:t xml:space="preserve"> would be </w:t>
      </w:r>
      <w:proofErr w:type="gramStart"/>
      <w:r>
        <w:rPr>
          <w:rFonts w:cstheme="minorHAnsi"/>
          <w:bCs/>
        </w:rPr>
        <w:t>useful  -</w:t>
      </w:r>
      <w:proofErr w:type="gramEnd"/>
      <w:r>
        <w:rPr>
          <w:rFonts w:cstheme="minorHAnsi"/>
          <w:bCs/>
        </w:rPr>
        <w:t xml:space="preserve"> we see this being done already.</w:t>
      </w:r>
    </w:p>
    <w:p w14:paraId="7F99F898" w14:textId="2A0D4B31" w:rsidR="00357800" w:rsidRDefault="00357800" w:rsidP="008F614E">
      <w:pPr>
        <w:spacing w:after="0" w:line="360" w:lineRule="auto"/>
        <w:jc w:val="both"/>
        <w:rPr>
          <w:rFonts w:cstheme="minorHAnsi"/>
          <w:bCs/>
        </w:rPr>
      </w:pPr>
    </w:p>
    <w:p w14:paraId="3FCF2E1D" w14:textId="1866F7E7"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605F40">
        <w:rPr>
          <w:rFonts w:cstheme="minorHAnsi"/>
          <w:bCs/>
        </w:rPr>
        <w:t xml:space="preserve">on the efficacy of curtailment </w:t>
      </w:r>
      <w:r w:rsidR="00922946">
        <w:rPr>
          <w:rFonts w:cstheme="minorHAnsi"/>
          <w:bCs/>
        </w:rPr>
        <w:t>(</w:t>
      </w:r>
      <w:hyperlink r:id="rId20" w:history="1">
        <w:r w:rsidR="00922946">
          <w:rPr>
            <w:rStyle w:val="Hyperlink"/>
          </w:rPr>
          <w:t>FDA Strategy for the Safety of Imported Food</w:t>
        </w:r>
      </w:hyperlink>
      <w:r w:rsidR="00922946">
        <w:rPr>
          <w:rFonts w:cstheme="minorHAnsi"/>
          <w:bCs/>
        </w:rPr>
        <w:t>)</w:t>
      </w:r>
      <w:r w:rsidR="0040052C">
        <w:rPr>
          <w:rFonts w:cstheme="minorHAnsi"/>
          <w:bCs/>
        </w:rPr>
        <w:t xml:space="preserve"> (</w:t>
      </w:r>
      <w:r w:rsidR="0040052C" w:rsidRPr="00C42765">
        <w:rPr>
          <w:rFonts w:cstheme="minorHAnsi"/>
          <w:b/>
          <w:bCs/>
          <w:highlight w:val="yellow"/>
        </w:rPr>
        <w:t>cite</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40052C">
        <w:rPr>
          <w:rFonts w:cstheme="minorHAnsi"/>
          <w:bCs/>
        </w:rPr>
        <w:t>(</w:t>
      </w:r>
      <w:r w:rsidR="0040052C" w:rsidRPr="00C42765">
        <w:rPr>
          <w:rFonts w:cstheme="minorHAnsi"/>
          <w:b/>
          <w:bCs/>
          <w:highlight w:val="yellow"/>
        </w:rPr>
        <w:t>cite</w:t>
      </w:r>
      <w:r w:rsidR="0040052C">
        <w:rPr>
          <w:rFonts w:cstheme="minorHAnsi"/>
          <w:bCs/>
        </w:rPr>
        <w:t>)</w:t>
      </w:r>
      <w:r w:rsidR="00966102">
        <w:rPr>
          <w:rFonts w:cstheme="minorHAnsi"/>
          <w:bCs/>
        </w:rPr>
        <w:t xml:space="preserve">. </w:t>
      </w:r>
      <w:r w:rsidR="0001342B">
        <w:rPr>
          <w:rFonts w:cstheme="minorHAnsi"/>
          <w:bCs/>
        </w:rPr>
        <w:t xml:space="preserve">While it is unfair </w:t>
      </w:r>
      <w:r w:rsidR="0001342B">
        <w:rPr>
          <w:rFonts w:cstheme="minorHAnsi"/>
          <w:bCs/>
        </w:rPr>
        <w:lastRenderedPageBreak/>
        <w:t>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 xml:space="preserve">expansion of import sampling at BCPs for retroactive sequencing and analysis could provide a rich vein </w:t>
      </w:r>
      <w:r w:rsidR="00D14A82">
        <w:rPr>
          <w:rFonts w:cstheme="minorHAnsi"/>
          <w:bCs/>
        </w:rPr>
        <w:t>for AMR surveillance</w:t>
      </w:r>
      <w:r w:rsidR="00FF5A67">
        <w:rPr>
          <w:rFonts w:cstheme="minorHAnsi"/>
          <w:bCs/>
        </w:rPr>
        <w:t xml:space="preserve"> (</w:t>
      </w:r>
      <w:hyperlink r:id="rId21" w:history="1">
        <w:r w:rsidR="00FF5A67">
          <w:rPr>
            <w:rStyle w:val="Hyperlink"/>
          </w:rPr>
          <w:t>implementing_pathogen_genomics_a_case_study.pdf (publishing.service.gov.uk)</w:t>
        </w:r>
      </w:hyperlink>
      <w:r w:rsidR="00FF5A67">
        <w:t>)</w:t>
      </w:r>
      <w:r w:rsidR="00D14A82">
        <w:rPr>
          <w:rFonts w:cstheme="minorHAnsi"/>
          <w:bCs/>
        </w:rPr>
        <w:t xml:space="preserve">. </w:t>
      </w:r>
      <w:r w:rsidR="00FF5A67">
        <w:rPr>
          <w:rFonts w:cstheme="minorHAnsi"/>
          <w:bCs/>
        </w:rPr>
        <w:t xml:space="preserve">Use of WGS data for COVID-19 phylodynamic modelling, identification 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have identified the power of this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2D131E" w:rsidRPr="00C42765">
        <w:rPr>
          <w:rFonts w:cstheme="minorHAnsi"/>
          <w:b/>
          <w:bCs/>
          <w:highlight w:val="yellow"/>
        </w:rPr>
        <w:t>cite</w:t>
      </w:r>
      <w:r w:rsidR="002D131E">
        <w:rPr>
          <w:rFonts w:cstheme="minorHAnsi"/>
          <w:bCs/>
        </w:rPr>
        <w:t>)</w:t>
      </w:r>
      <w:r w:rsidR="00FF5A67">
        <w:rPr>
          <w:rFonts w:cstheme="minorHAnsi"/>
          <w:bCs/>
        </w:rPr>
        <w:t xml:space="preserve">. </w:t>
      </w:r>
    </w:p>
    <w:p w14:paraId="414117C8" w14:textId="77777777" w:rsidR="007B78CA" w:rsidRDefault="007B78CA" w:rsidP="0075259D">
      <w:pPr>
        <w:spacing w:after="0" w:line="360" w:lineRule="auto"/>
        <w:jc w:val="both"/>
        <w:rPr>
          <w:rFonts w:cstheme="minorHAnsi"/>
          <w:bCs/>
        </w:rPr>
      </w:pPr>
    </w:p>
    <w:p w14:paraId="1DEF73D5" w14:textId="188036C6" w:rsidR="00D51170" w:rsidRDefault="00D51170" w:rsidP="00D51170">
      <w:pPr>
        <w:spacing w:after="0" w:line="360" w:lineRule="auto"/>
        <w:rPr>
          <w:bCs/>
        </w:rPr>
      </w:pPr>
      <w:r w:rsidRPr="005C008A">
        <w:rPr>
          <w:b/>
          <w:bCs/>
        </w:rPr>
        <w:t xml:space="preserve">Study limitations </w:t>
      </w:r>
    </w:p>
    <w:p w14:paraId="62C9C982" w14:textId="77777777" w:rsidR="004D5A23" w:rsidRDefault="009860C2" w:rsidP="00794A5A">
      <w:pPr>
        <w:spacing w:after="0" w:line="360" w:lineRule="auto"/>
        <w:jc w:val="both"/>
      </w:pPr>
      <w:r>
        <w:t xml:space="preserve">Source attribution studies have attributed pigs, </w:t>
      </w:r>
      <w:r w:rsidR="0016319B">
        <w:t>layers</w:t>
      </w:r>
      <w:r>
        <w:t xml:space="preserve"> and travel as the primary sources</w:t>
      </w:r>
      <w:r w:rsidR="0016319B">
        <w:t xml:space="preserve"> of human salmonellosis</w:t>
      </w:r>
      <w:r>
        <w:t xml:space="preserve">, with the influence of imported food products limited to 6.4-9.9%. This suggests </w:t>
      </w:r>
      <w:r w:rsidR="0016319B">
        <w:t xml:space="preserve">an overestimation of the </w:t>
      </w:r>
      <w:r>
        <w:t>influence of imported livestock food products</w:t>
      </w:r>
      <w:r w:rsidR="0016319B">
        <w:t xml:space="preserve"> contributing to human salmonellosis in this study ()</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t xml:space="preserve">. </w:t>
      </w:r>
      <w:r w:rsidR="0016319B">
        <w:t xml:space="preserve">It is also important to recognise the recent advances in AMR source attribution using metagenomic approaches which </w:t>
      </w:r>
      <w:r w:rsidR="00794A5A">
        <w:t xml:space="preserve">may prove to be an </w:t>
      </w:r>
      <w:r>
        <w:t xml:space="preserve">interesting avenue </w:t>
      </w:r>
      <w:r w:rsidR="004D5A23">
        <w:t>to validate the AMR attributable fractions</w:t>
      </w:r>
      <w:r>
        <w:t>.</w:t>
      </w:r>
    </w:p>
    <w:p w14:paraId="45737680" w14:textId="77777777" w:rsidR="004D5A23" w:rsidRDefault="004D5A23" w:rsidP="00794A5A">
      <w:pPr>
        <w:spacing w:after="0" w:line="360" w:lineRule="auto"/>
        <w:jc w:val="both"/>
      </w:pPr>
    </w:p>
    <w:p w14:paraId="5F7E1C6C" w14:textId="7995E3F0" w:rsidR="00794A5A" w:rsidRPr="004D5A23" w:rsidRDefault="00794A5A" w:rsidP="00794A5A">
      <w:pPr>
        <w:spacing w:after="0" w:line="360" w:lineRule="auto"/>
        <w:jc w:val="both"/>
      </w:pPr>
      <w:r>
        <w:rPr>
          <w:bCs/>
        </w:rPr>
        <w:t xml:space="preserve">Due to the linear relationship between </w:t>
      </w:r>
      <w:r>
        <w:rPr>
          <w:rFonts w:cstheme="minorHAnsi"/>
          <w:bCs/>
        </w:rPr>
        <w:t>ψ</w:t>
      </w:r>
      <w:r>
        <w:rPr>
          <w:bCs/>
        </w:rPr>
        <w:t xml:space="preserve">, Share, </w:t>
      </w:r>
      <w:proofErr w:type="spellStart"/>
      <w:r>
        <w:rPr>
          <w:bCs/>
        </w:rPr>
        <w:t>Frac</w:t>
      </w:r>
      <w:r w:rsidRPr="004D5A23">
        <w:rPr>
          <w:bCs/>
          <w:vertAlign w:val="subscript"/>
        </w:rPr>
        <w:t>Imp</w:t>
      </w:r>
      <w:proofErr w:type="spellEnd"/>
      <w:r>
        <w:rPr>
          <w:bCs/>
        </w:rPr>
        <w:t xml:space="preserve">, </w:t>
      </w:r>
      <w:proofErr w:type="spellStart"/>
      <w:r>
        <w:rPr>
          <w:bCs/>
        </w:rPr>
        <w:t>PropRes</w:t>
      </w:r>
      <w:r w:rsidRPr="004D5A23">
        <w:rPr>
          <w:bCs/>
          <w:vertAlign w:val="subscript"/>
        </w:rPr>
        <w:t>Imp</w:t>
      </w:r>
      <w:proofErr w:type="spellEnd"/>
      <w:r>
        <w:rPr>
          <w:bCs/>
        </w:rPr>
        <w:t xml:space="preserve"> and </w:t>
      </w:r>
      <w:r>
        <w:rPr>
          <w:rFonts w:cstheme="minorHAnsi"/>
          <w:bCs/>
        </w:rPr>
        <w:t>β</w:t>
      </w:r>
      <w:r w:rsidRPr="008922BC">
        <w:rPr>
          <w:bCs/>
          <w:vertAlign w:val="subscript"/>
        </w:rPr>
        <w:t>HA</w:t>
      </w:r>
      <w:r>
        <w:rPr>
          <w:bCs/>
        </w:rPr>
        <w:t xml:space="preserve"> parameters in </w:t>
      </w:r>
      <w:r w:rsidR="004D5A23">
        <w:rPr>
          <w:bCs/>
        </w:rPr>
        <w:t xml:space="preserve">contributing to the influence of </w:t>
      </w:r>
      <w:r>
        <w:rPr>
          <w:bCs/>
        </w:rPr>
        <w:t>importing country</w:t>
      </w:r>
      <w:r w:rsidR="004D5A23">
        <w:rPr>
          <w:bCs/>
        </w:rPr>
        <w:t xml:space="preserve"> on Salmonella spp. transmission</w:t>
      </w:r>
      <w:r>
        <w:rPr>
          <w:bCs/>
        </w:rPr>
        <w:t xml:space="preserve">. It is likely that a lower overall attributable fraction of human salmonellosis to import would have </w:t>
      </w:r>
      <w:r w:rsidR="004D5A23">
        <w:rPr>
          <w:bCs/>
        </w:rPr>
        <w:t>similar results to a lower extent of lower</w:t>
      </w:r>
      <w:r>
        <w:rPr>
          <w:bCs/>
        </w:rPr>
        <w:t xml:space="preserve"> levels of </w:t>
      </w:r>
      <w:r w:rsidR="004D5A23">
        <w:rPr>
          <w:bCs/>
        </w:rPr>
        <w:t xml:space="preserve">overall/ampicillin-resistant Salmonella spp. </w:t>
      </w:r>
      <w:r>
        <w:rPr>
          <w:bCs/>
        </w:rPr>
        <w:t>contamination (</w:t>
      </w:r>
      <w:proofErr w:type="spellStart"/>
      <w:r w:rsidR="004D5A23">
        <w:rPr>
          <w:bCs/>
        </w:rPr>
        <w:t>FracImp</w:t>
      </w:r>
      <w:proofErr w:type="spellEnd"/>
      <w:r w:rsidR="004D5A23">
        <w:rPr>
          <w:bCs/>
        </w:rPr>
        <w:t xml:space="preserve"> and </w:t>
      </w:r>
      <w:proofErr w:type="spellStart"/>
      <w:r w:rsidR="004D5A23">
        <w:rPr>
          <w:bCs/>
        </w:rPr>
        <w:t>PropRes</w:t>
      </w:r>
      <w:r w:rsidR="004D5A23" w:rsidRPr="004D5A23">
        <w:rPr>
          <w:bCs/>
          <w:vertAlign w:val="subscript"/>
        </w:rPr>
        <w:t>Imp</w:t>
      </w:r>
      <w:proofErr w:type="spellEnd"/>
      <w:r>
        <w:rPr>
          <w:bCs/>
        </w:rPr>
        <w:t>)</w:t>
      </w:r>
      <w:r w:rsidR="004D5A23">
        <w:rPr>
          <w:bCs/>
        </w:rPr>
        <w:t xml:space="preserve">, with a lower effect of import on the efficacy of curtailment (Figure 9). </w:t>
      </w:r>
      <w:r>
        <w:rPr>
          <w:bCs/>
        </w:rPr>
        <w:t xml:space="preserve"> </w:t>
      </w:r>
    </w:p>
    <w:p w14:paraId="7DEE87A0" w14:textId="77777777" w:rsidR="008922BC" w:rsidRDefault="008922BC" w:rsidP="00D51170">
      <w:pPr>
        <w:spacing w:after="0" w:line="360" w:lineRule="auto"/>
        <w:rPr>
          <w:bCs/>
        </w:rPr>
      </w:pPr>
    </w:p>
    <w:p w14:paraId="4B6E6E52" w14:textId="14CFD9E4" w:rsidR="00BA7E2C" w:rsidRPr="00CA0845" w:rsidRDefault="00B446DD" w:rsidP="00990C85">
      <w:pPr>
        <w:spacing w:after="0" w:line="360" w:lineRule="auto"/>
        <w:jc w:val="both"/>
        <w:rPr>
          <w:bCs/>
        </w:rPr>
      </w:pPr>
      <w:r>
        <w:rPr>
          <w:bCs/>
        </w:rPr>
        <w:t xml:space="preserve">While contamination on consumer bought livestock produce is the most direct exposure to contamiantion to humans, we note that this was not possible for this study. Import data was widely </w:t>
      </w:r>
      <w:r w:rsidR="00516F52">
        <w:rPr>
          <w:bCs/>
        </w:rPr>
        <w:t>available</w:t>
      </w:r>
      <w:r>
        <w:rPr>
          <w:bCs/>
        </w:rPr>
        <w:t xml:space="preserve"> for 400cm</w:t>
      </w:r>
      <w:r w:rsidRPr="00516F52">
        <w:rPr>
          <w:bCs/>
          <w:vertAlign w:val="superscript"/>
        </w:rPr>
        <w:t>2</w:t>
      </w:r>
      <w:r>
        <w:rPr>
          <w:bCs/>
        </w:rPr>
        <w:t xml:space="preserve"> surface swabs from livestock carcasses</w:t>
      </w:r>
      <w:r w:rsidR="00516F52">
        <w:rPr>
          <w:bCs/>
        </w:rPr>
        <w:t>, with this also the case</w:t>
      </w:r>
      <w:r>
        <w:rPr>
          <w:bCs/>
        </w:rPr>
        <w:t xml:space="preserve"> with ampicillin-resistance data</w:t>
      </w:r>
      <w:r w:rsidR="00516F52">
        <w:rPr>
          <w:bCs/>
        </w:rPr>
        <w:t xml:space="preserve"> for Salmonella spp. ()</w:t>
      </w:r>
      <w:r>
        <w:rPr>
          <w:bCs/>
        </w:rPr>
        <w:t xml:space="preserve">. We note that due to modelling both contamination on imported and domestic </w:t>
      </w:r>
      <w:r w:rsidR="00812929">
        <w:rPr>
          <w:bCs/>
        </w:rPr>
        <w:t>fattening</w:t>
      </w:r>
      <w:r>
        <w:rPr>
          <w:bCs/>
        </w:rPr>
        <w:t xml:space="preserve"> pig carcases (</w:t>
      </w:r>
      <w:r w:rsidR="0068281D">
        <w:rPr>
          <w:rFonts w:cstheme="minorHAnsi"/>
          <w:bCs/>
        </w:rPr>
        <w:t>β</w:t>
      </w:r>
      <w:r w:rsidRPr="0068281D">
        <w:rPr>
          <w:bCs/>
          <w:vertAlign w:val="subscript"/>
        </w:rPr>
        <w:t>HA</w:t>
      </w:r>
      <w:r>
        <w:rPr>
          <w:bCs/>
        </w:rPr>
        <w:t xml:space="preserve"> * </w:t>
      </w:r>
      <w:r w:rsidR="0068281D">
        <w:rPr>
          <w:rFonts w:cstheme="minorHAnsi"/>
          <w:bCs/>
        </w:rPr>
        <w:t>η</w:t>
      </w:r>
      <w:r w:rsidR="0068281D">
        <w:rPr>
          <w:bCs/>
        </w:rPr>
        <w:t>)</w:t>
      </w:r>
      <w:r>
        <w:rPr>
          <w:bCs/>
        </w:rPr>
        <w:t xml:space="preserve">, the use of a </w:t>
      </w:r>
      <w:r>
        <w:rPr>
          <w:rFonts w:cstheme="minorHAnsi"/>
          <w:bCs/>
        </w:rPr>
        <w:t>β</w:t>
      </w:r>
      <w:r>
        <w:rPr>
          <w:bCs/>
        </w:rPr>
        <w:t xml:space="preserve">HA parameter can be used to model the reduction in exposure leading to direct transmission to humans from the carcass processing stage to direct consumption by humans. </w:t>
      </w:r>
    </w:p>
    <w:p w14:paraId="61BDA5FD" w14:textId="77777777" w:rsidR="00516F52" w:rsidRDefault="00516F52" w:rsidP="00D51170">
      <w:pPr>
        <w:spacing w:after="0" w:line="360" w:lineRule="auto"/>
        <w:rPr>
          <w:bCs/>
        </w:rPr>
      </w:pPr>
    </w:p>
    <w:p w14:paraId="655ED123" w14:textId="6757ACA8" w:rsidR="00061ED3" w:rsidRPr="00CA0845" w:rsidRDefault="00516F52" w:rsidP="0068281D">
      <w:pPr>
        <w:spacing w:after="0" w:line="360" w:lineRule="auto"/>
        <w:jc w:val="both"/>
        <w:rPr>
          <w:bCs/>
        </w:rPr>
      </w:pPr>
      <w:r>
        <w:rPr>
          <w:bCs/>
        </w:rPr>
        <w:t xml:space="preserve">Both models also assumed a relationship between domestic livestock antibiotic usage and human antimicrobial resistance. </w:t>
      </w:r>
      <w:r w:rsidR="00E80DA0">
        <w:rPr>
          <w:bCs/>
        </w:rPr>
        <w:t>There is evidence in AMR literature of changes in livestock AMR following livestock AMR stewardship interventions</w:t>
      </w:r>
      <w:r w:rsidR="00112932">
        <w:rPr>
          <w:bCs/>
        </w:rPr>
        <w:t xml:space="preserve"> (tang study)</w:t>
      </w:r>
      <w:r w:rsidR="00E80DA0">
        <w:rPr>
          <w:bCs/>
        </w:rPr>
        <w:t xml:space="preserve">. However, the link between livestock </w:t>
      </w:r>
      <w:r w:rsidR="00E80DA0">
        <w:rPr>
          <w:bCs/>
        </w:rPr>
        <w:lastRenderedPageBreak/>
        <w:t xml:space="preserve">interventions and changes in AMR </w:t>
      </w:r>
      <w:proofErr w:type="gramStart"/>
      <w:r w:rsidR="00E80DA0">
        <w:rPr>
          <w:bCs/>
        </w:rPr>
        <w:t>are less recorded</w:t>
      </w:r>
      <w:proofErr w:type="gramEnd"/>
      <w:r w:rsidR="00812929">
        <w:rPr>
          <w:bCs/>
        </w:rPr>
        <w:t>, with interventions often introduced under a precautionary principle approach</w:t>
      </w:r>
      <w:r w:rsidR="00E80DA0">
        <w:rPr>
          <w:bCs/>
        </w:rPr>
        <w:t>. This can likely be attributed to multiple confounding factors or the</w:t>
      </w:r>
      <w:r w:rsidR="00812929">
        <w:rPr>
          <w:bCs/>
        </w:rPr>
        <w:t xml:space="preserve"> potentially</w:t>
      </w:r>
      <w:r w:rsidR="00E80DA0">
        <w:rPr>
          <w:bCs/>
        </w:rPr>
        <w:t xml:space="preserve"> presence of stronger AMR drivers in human populations. </w:t>
      </w:r>
      <w:r w:rsidR="00812929">
        <w:rPr>
          <w:bCs/>
        </w:rPr>
        <w:t xml:space="preserve">While the link has not been fundamentally proven, modelling of foodborne pathogens provide the most obvious relationship between livestock health/AMR and human AMR if the phenomenom does occur. With Salmonella spp. or Campylobacter spp. being obligate pathogens in humans and having long-lasting reservoirs in livestock. </w:t>
      </w:r>
    </w:p>
    <w:p w14:paraId="50539F0C" w14:textId="2E7BA208" w:rsidR="003F0E81" w:rsidRDefault="003F0E81" w:rsidP="003F0E81">
      <w:pPr>
        <w:spacing w:after="0" w:line="360" w:lineRule="auto"/>
        <w:rPr>
          <w:bCs/>
        </w:rPr>
      </w:pPr>
    </w:p>
    <w:p w14:paraId="5803E41F" w14:textId="2FC5C9F9" w:rsidR="003F0E81" w:rsidRDefault="003F0E81" w:rsidP="003F0E81">
      <w:pPr>
        <w:spacing w:after="0" w:line="360" w:lineRule="auto"/>
        <w:rPr>
          <w:b/>
          <w:bCs/>
        </w:rPr>
      </w:pPr>
      <w:r w:rsidRPr="00B75BA9">
        <w:rPr>
          <w:b/>
          <w:bCs/>
        </w:rPr>
        <w:t xml:space="preserve">Overall Conclusion Paragraph </w:t>
      </w:r>
    </w:p>
    <w:p w14:paraId="53EDB7B6" w14:textId="15953789" w:rsidR="00EF2210" w:rsidRDefault="00812929" w:rsidP="00161492">
      <w:pPr>
        <w:spacing w:after="0" w:line="360" w:lineRule="auto"/>
        <w:jc w:val="both"/>
      </w:pPr>
      <w:r>
        <w:t xml:space="preserve">This study suggests that importation of livestock food products from non-domestic sources can have potentially detrimental effects on the </w:t>
      </w:r>
      <w:r w:rsidR="00AD0006">
        <w:t xml:space="preserve">efficacy of local livestock antibiotic stewardship interventions with regard to human health. This was explored in the context of altering the extent of importation in the domestic country of interest. The worst outcome following the alteration of import was experienced when the </w:t>
      </w:r>
      <w:r w:rsidR="00EF2210">
        <w:t xml:space="preserve">average </w:t>
      </w:r>
      <w:r w:rsidR="00AD0006">
        <w:t xml:space="preserve">extent of contamiantion both overall and resistant on imported food products was high. Additionally, the balance between </w:t>
      </w:r>
      <w:r w:rsidR="00EF2210">
        <w:t>domestic and imported resistance/</w:t>
      </w:r>
      <w:r w:rsidR="0068281D">
        <w:t>contamination</w:t>
      </w:r>
      <w:r w:rsidR="00EF2210">
        <w:t xml:space="preserve"> was deemed to be important. Heterogeneity in trade partners did little to change the average effect of import on the efficacy of curtailment but changed the amount of variance </w:t>
      </w:r>
      <w:proofErr w:type="gramStart"/>
      <w:r w:rsidR="00EF2210">
        <w:t>that  you’d</w:t>
      </w:r>
      <w:proofErr w:type="gramEnd"/>
      <w:r w:rsidR="00EF2210">
        <w:t xml:space="preserve"> expect after changing import. The results also have implication for public health policy with a need for good surveillance and a need to at the very least push the level of contamination down to a level below the level seen on domestic food products if increasing the amount imported is needed.</w:t>
      </w:r>
      <w:r w:rsidR="00EF2210" w:rsidRPr="00EF2210">
        <w:t xml:space="preserve"> </w:t>
      </w:r>
      <w:r w:rsidR="00EF2210">
        <w:t>This study quantifies a previously intuitive notion that imports will affec</w:t>
      </w:r>
      <w:r w:rsidR="0068281D">
        <w:t>t</w:t>
      </w:r>
      <w:r w:rsidR="00EF2210">
        <w:t xml:space="preserve"> the efficacy of local interventions and provides a </w:t>
      </w:r>
      <w:r w:rsidR="0068281D">
        <w:t>quantitative</w:t>
      </w:r>
      <w:r w:rsidR="00EF2210">
        <w:t xml:space="preserve"> framework for future modelling into foodborne disease and import of AMR. </w:t>
      </w:r>
    </w:p>
    <w:p w14:paraId="0EB5198F" w14:textId="77777777" w:rsidR="00E80DA0" w:rsidRPr="00B75BA9" w:rsidRDefault="00E80DA0" w:rsidP="003F0E81">
      <w:pPr>
        <w:spacing w:after="0" w:line="360" w:lineRule="auto"/>
        <w:rPr>
          <w:b/>
          <w:bCs/>
        </w:rPr>
      </w:pP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373B3D"/>
    <w:multiLevelType w:val="hybridMultilevel"/>
    <w:tmpl w:val="6FBE4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2B6B33"/>
    <w:multiLevelType w:val="hybridMultilevel"/>
    <w:tmpl w:val="87E8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25"/>
  </w:num>
  <w:num w:numId="4">
    <w:abstractNumId w:val="1"/>
  </w:num>
  <w:num w:numId="5">
    <w:abstractNumId w:val="3"/>
  </w:num>
  <w:num w:numId="6">
    <w:abstractNumId w:val="23"/>
  </w:num>
  <w:num w:numId="7">
    <w:abstractNumId w:val="31"/>
  </w:num>
  <w:num w:numId="8">
    <w:abstractNumId w:val="2"/>
  </w:num>
  <w:num w:numId="9">
    <w:abstractNumId w:val="33"/>
  </w:num>
  <w:num w:numId="10">
    <w:abstractNumId w:val="32"/>
  </w:num>
  <w:num w:numId="11">
    <w:abstractNumId w:val="8"/>
  </w:num>
  <w:num w:numId="12">
    <w:abstractNumId w:val="34"/>
  </w:num>
  <w:num w:numId="13">
    <w:abstractNumId w:val="15"/>
  </w:num>
  <w:num w:numId="14">
    <w:abstractNumId w:val="27"/>
  </w:num>
  <w:num w:numId="15">
    <w:abstractNumId w:val="17"/>
  </w:num>
  <w:num w:numId="16">
    <w:abstractNumId w:val="20"/>
  </w:num>
  <w:num w:numId="17">
    <w:abstractNumId w:val="10"/>
  </w:num>
  <w:num w:numId="18">
    <w:abstractNumId w:val="9"/>
  </w:num>
  <w:num w:numId="19">
    <w:abstractNumId w:val="12"/>
  </w:num>
  <w:num w:numId="20">
    <w:abstractNumId w:val="22"/>
  </w:num>
  <w:num w:numId="21">
    <w:abstractNumId w:val="14"/>
  </w:num>
  <w:num w:numId="22">
    <w:abstractNumId w:val="24"/>
  </w:num>
  <w:num w:numId="23">
    <w:abstractNumId w:val="21"/>
  </w:num>
  <w:num w:numId="24">
    <w:abstractNumId w:val="26"/>
  </w:num>
  <w:num w:numId="25">
    <w:abstractNumId w:val="30"/>
  </w:num>
  <w:num w:numId="26">
    <w:abstractNumId w:val="0"/>
  </w:num>
  <w:num w:numId="27">
    <w:abstractNumId w:val="11"/>
  </w:num>
  <w:num w:numId="28">
    <w:abstractNumId w:val="5"/>
  </w:num>
  <w:num w:numId="29">
    <w:abstractNumId w:val="16"/>
  </w:num>
  <w:num w:numId="30">
    <w:abstractNumId w:val="19"/>
  </w:num>
  <w:num w:numId="31">
    <w:abstractNumId w:val="4"/>
  </w:num>
  <w:num w:numId="32">
    <w:abstractNumId w:val="13"/>
  </w:num>
  <w:num w:numId="33">
    <w:abstractNumId w:val="18"/>
  </w:num>
  <w:num w:numId="34">
    <w:abstractNumId w:val="28"/>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017CA"/>
    <w:rsid w:val="0001342B"/>
    <w:rsid w:val="00036FCA"/>
    <w:rsid w:val="000411C1"/>
    <w:rsid w:val="00041E63"/>
    <w:rsid w:val="00044754"/>
    <w:rsid w:val="00044A51"/>
    <w:rsid w:val="000522E9"/>
    <w:rsid w:val="00061ED3"/>
    <w:rsid w:val="00063740"/>
    <w:rsid w:val="000702C0"/>
    <w:rsid w:val="00074D74"/>
    <w:rsid w:val="00082805"/>
    <w:rsid w:val="00091ADD"/>
    <w:rsid w:val="000A7BF3"/>
    <w:rsid w:val="000B2FD4"/>
    <w:rsid w:val="000B375D"/>
    <w:rsid w:val="000B4EEC"/>
    <w:rsid w:val="000C30FE"/>
    <w:rsid w:val="000D242E"/>
    <w:rsid w:val="000D397A"/>
    <w:rsid w:val="000D3AFD"/>
    <w:rsid w:val="000D4AB7"/>
    <w:rsid w:val="000E2ED6"/>
    <w:rsid w:val="000E42C5"/>
    <w:rsid w:val="000F51EF"/>
    <w:rsid w:val="00101690"/>
    <w:rsid w:val="0010471B"/>
    <w:rsid w:val="00112932"/>
    <w:rsid w:val="001168DB"/>
    <w:rsid w:val="00116B65"/>
    <w:rsid w:val="001178DA"/>
    <w:rsid w:val="00120369"/>
    <w:rsid w:val="00121691"/>
    <w:rsid w:val="00127AEE"/>
    <w:rsid w:val="00135DF7"/>
    <w:rsid w:val="00137BAF"/>
    <w:rsid w:val="00143D2E"/>
    <w:rsid w:val="00147253"/>
    <w:rsid w:val="001500B0"/>
    <w:rsid w:val="00153F9F"/>
    <w:rsid w:val="00161492"/>
    <w:rsid w:val="0016319B"/>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65C08"/>
    <w:rsid w:val="002724A8"/>
    <w:rsid w:val="00275E05"/>
    <w:rsid w:val="002844D8"/>
    <w:rsid w:val="0029369D"/>
    <w:rsid w:val="00296956"/>
    <w:rsid w:val="002A3A37"/>
    <w:rsid w:val="002A60AD"/>
    <w:rsid w:val="002A6854"/>
    <w:rsid w:val="002C2F49"/>
    <w:rsid w:val="002C5165"/>
    <w:rsid w:val="002D131E"/>
    <w:rsid w:val="002D7AEF"/>
    <w:rsid w:val="002E2526"/>
    <w:rsid w:val="002F0C8B"/>
    <w:rsid w:val="002F205B"/>
    <w:rsid w:val="00302423"/>
    <w:rsid w:val="003057B4"/>
    <w:rsid w:val="00311DD4"/>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C5DDB"/>
    <w:rsid w:val="003D603C"/>
    <w:rsid w:val="003D652A"/>
    <w:rsid w:val="003E0E99"/>
    <w:rsid w:val="003E131F"/>
    <w:rsid w:val="003E26B6"/>
    <w:rsid w:val="003E4B0D"/>
    <w:rsid w:val="003E5AF1"/>
    <w:rsid w:val="003E7D1A"/>
    <w:rsid w:val="003F0E81"/>
    <w:rsid w:val="003F5984"/>
    <w:rsid w:val="0040052C"/>
    <w:rsid w:val="00402651"/>
    <w:rsid w:val="00405967"/>
    <w:rsid w:val="004175AA"/>
    <w:rsid w:val="00422EE7"/>
    <w:rsid w:val="004240B0"/>
    <w:rsid w:val="004322E0"/>
    <w:rsid w:val="0044039F"/>
    <w:rsid w:val="004448DD"/>
    <w:rsid w:val="00452015"/>
    <w:rsid w:val="00455EA6"/>
    <w:rsid w:val="00461809"/>
    <w:rsid w:val="00464DA3"/>
    <w:rsid w:val="004726F7"/>
    <w:rsid w:val="004756D7"/>
    <w:rsid w:val="0047606F"/>
    <w:rsid w:val="00493807"/>
    <w:rsid w:val="00496C83"/>
    <w:rsid w:val="004970E9"/>
    <w:rsid w:val="004C3C82"/>
    <w:rsid w:val="004D37AC"/>
    <w:rsid w:val="004D51C3"/>
    <w:rsid w:val="004D5A23"/>
    <w:rsid w:val="004D6F0B"/>
    <w:rsid w:val="004F16D1"/>
    <w:rsid w:val="004F38F0"/>
    <w:rsid w:val="00512AB7"/>
    <w:rsid w:val="00512B3D"/>
    <w:rsid w:val="00514CB2"/>
    <w:rsid w:val="00515EAF"/>
    <w:rsid w:val="00516F52"/>
    <w:rsid w:val="0052021A"/>
    <w:rsid w:val="00533964"/>
    <w:rsid w:val="00542DE8"/>
    <w:rsid w:val="00546083"/>
    <w:rsid w:val="005507C9"/>
    <w:rsid w:val="00555CC8"/>
    <w:rsid w:val="00556463"/>
    <w:rsid w:val="00556F70"/>
    <w:rsid w:val="00565A1F"/>
    <w:rsid w:val="00567E1A"/>
    <w:rsid w:val="005725A7"/>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5838"/>
    <w:rsid w:val="0068281D"/>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647E"/>
    <w:rsid w:val="0075259D"/>
    <w:rsid w:val="0075714A"/>
    <w:rsid w:val="00761340"/>
    <w:rsid w:val="007650A7"/>
    <w:rsid w:val="00765E67"/>
    <w:rsid w:val="007735FA"/>
    <w:rsid w:val="00774866"/>
    <w:rsid w:val="00774B59"/>
    <w:rsid w:val="00782365"/>
    <w:rsid w:val="00782548"/>
    <w:rsid w:val="00794A5A"/>
    <w:rsid w:val="007961F7"/>
    <w:rsid w:val="007A072D"/>
    <w:rsid w:val="007A3A0E"/>
    <w:rsid w:val="007A662E"/>
    <w:rsid w:val="007A72FB"/>
    <w:rsid w:val="007B1874"/>
    <w:rsid w:val="007B78CA"/>
    <w:rsid w:val="007C508C"/>
    <w:rsid w:val="007C5F0A"/>
    <w:rsid w:val="007D46FF"/>
    <w:rsid w:val="007D5E0A"/>
    <w:rsid w:val="007F22FE"/>
    <w:rsid w:val="0080627B"/>
    <w:rsid w:val="00812929"/>
    <w:rsid w:val="00830A1A"/>
    <w:rsid w:val="00840174"/>
    <w:rsid w:val="008410F5"/>
    <w:rsid w:val="008448B2"/>
    <w:rsid w:val="0085712B"/>
    <w:rsid w:val="00857B3D"/>
    <w:rsid w:val="008667E4"/>
    <w:rsid w:val="00873797"/>
    <w:rsid w:val="00873F0A"/>
    <w:rsid w:val="00874540"/>
    <w:rsid w:val="008764F5"/>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860C2"/>
    <w:rsid w:val="00990C85"/>
    <w:rsid w:val="009A60A7"/>
    <w:rsid w:val="009B116D"/>
    <w:rsid w:val="009C0EC8"/>
    <w:rsid w:val="009C62E3"/>
    <w:rsid w:val="009E5758"/>
    <w:rsid w:val="009F2433"/>
    <w:rsid w:val="009F2C64"/>
    <w:rsid w:val="00A01C2A"/>
    <w:rsid w:val="00A05E6D"/>
    <w:rsid w:val="00A0675E"/>
    <w:rsid w:val="00A06BA2"/>
    <w:rsid w:val="00A150A1"/>
    <w:rsid w:val="00A1530D"/>
    <w:rsid w:val="00A233DB"/>
    <w:rsid w:val="00A2488B"/>
    <w:rsid w:val="00A27AC3"/>
    <w:rsid w:val="00A35E99"/>
    <w:rsid w:val="00A36FF8"/>
    <w:rsid w:val="00A418FB"/>
    <w:rsid w:val="00A4275B"/>
    <w:rsid w:val="00A42CCF"/>
    <w:rsid w:val="00A448C0"/>
    <w:rsid w:val="00A52CF4"/>
    <w:rsid w:val="00A53792"/>
    <w:rsid w:val="00A53AB4"/>
    <w:rsid w:val="00A53CE8"/>
    <w:rsid w:val="00A5430A"/>
    <w:rsid w:val="00A54B52"/>
    <w:rsid w:val="00A8015B"/>
    <w:rsid w:val="00A820CF"/>
    <w:rsid w:val="00A871D8"/>
    <w:rsid w:val="00A87E71"/>
    <w:rsid w:val="00A92678"/>
    <w:rsid w:val="00A93145"/>
    <w:rsid w:val="00A95D6B"/>
    <w:rsid w:val="00A962F1"/>
    <w:rsid w:val="00AA2A0B"/>
    <w:rsid w:val="00AA5EEA"/>
    <w:rsid w:val="00AB0124"/>
    <w:rsid w:val="00AB26D3"/>
    <w:rsid w:val="00AC6842"/>
    <w:rsid w:val="00AD0006"/>
    <w:rsid w:val="00AE2D40"/>
    <w:rsid w:val="00AE3D60"/>
    <w:rsid w:val="00AE6C07"/>
    <w:rsid w:val="00AF390E"/>
    <w:rsid w:val="00AF5EC3"/>
    <w:rsid w:val="00B0060C"/>
    <w:rsid w:val="00B072CB"/>
    <w:rsid w:val="00B11068"/>
    <w:rsid w:val="00B16943"/>
    <w:rsid w:val="00B23F67"/>
    <w:rsid w:val="00B27278"/>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28AF"/>
    <w:rsid w:val="00B83179"/>
    <w:rsid w:val="00B91369"/>
    <w:rsid w:val="00B9302E"/>
    <w:rsid w:val="00B93EE5"/>
    <w:rsid w:val="00B943BB"/>
    <w:rsid w:val="00BA13E1"/>
    <w:rsid w:val="00BA2D95"/>
    <w:rsid w:val="00BA67AA"/>
    <w:rsid w:val="00BA7E2C"/>
    <w:rsid w:val="00BB467C"/>
    <w:rsid w:val="00BB48E7"/>
    <w:rsid w:val="00BD7B5D"/>
    <w:rsid w:val="00BE0799"/>
    <w:rsid w:val="00BE10CE"/>
    <w:rsid w:val="00BE1A82"/>
    <w:rsid w:val="00BE510C"/>
    <w:rsid w:val="00BE6412"/>
    <w:rsid w:val="00BF08B6"/>
    <w:rsid w:val="00C00E04"/>
    <w:rsid w:val="00C02BA1"/>
    <w:rsid w:val="00C03FAA"/>
    <w:rsid w:val="00C040CB"/>
    <w:rsid w:val="00C068C2"/>
    <w:rsid w:val="00C071EA"/>
    <w:rsid w:val="00C13DD4"/>
    <w:rsid w:val="00C20DFD"/>
    <w:rsid w:val="00C212B2"/>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3421"/>
    <w:rsid w:val="00CD5FAF"/>
    <w:rsid w:val="00CD7B71"/>
    <w:rsid w:val="00CF200A"/>
    <w:rsid w:val="00CF48D7"/>
    <w:rsid w:val="00D144AA"/>
    <w:rsid w:val="00D14A82"/>
    <w:rsid w:val="00D20281"/>
    <w:rsid w:val="00D237C9"/>
    <w:rsid w:val="00D32772"/>
    <w:rsid w:val="00D34EE1"/>
    <w:rsid w:val="00D3605F"/>
    <w:rsid w:val="00D360D4"/>
    <w:rsid w:val="00D37387"/>
    <w:rsid w:val="00D41A12"/>
    <w:rsid w:val="00D42CDA"/>
    <w:rsid w:val="00D50D43"/>
    <w:rsid w:val="00D51170"/>
    <w:rsid w:val="00D51B6E"/>
    <w:rsid w:val="00D70D0C"/>
    <w:rsid w:val="00D74B79"/>
    <w:rsid w:val="00D7598E"/>
    <w:rsid w:val="00D802A6"/>
    <w:rsid w:val="00D806B0"/>
    <w:rsid w:val="00D91FF6"/>
    <w:rsid w:val="00D97C0B"/>
    <w:rsid w:val="00D97CC7"/>
    <w:rsid w:val="00DA318E"/>
    <w:rsid w:val="00DA3796"/>
    <w:rsid w:val="00DA4278"/>
    <w:rsid w:val="00DA7F3D"/>
    <w:rsid w:val="00DB3D19"/>
    <w:rsid w:val="00DB55DE"/>
    <w:rsid w:val="00DC28B8"/>
    <w:rsid w:val="00DC6097"/>
    <w:rsid w:val="00DC63A3"/>
    <w:rsid w:val="00DD31F1"/>
    <w:rsid w:val="00DD34AC"/>
    <w:rsid w:val="00DD6757"/>
    <w:rsid w:val="00DE140E"/>
    <w:rsid w:val="00DE3E58"/>
    <w:rsid w:val="00DE4153"/>
    <w:rsid w:val="00DF2E4B"/>
    <w:rsid w:val="00DF31DA"/>
    <w:rsid w:val="00DF6D86"/>
    <w:rsid w:val="00E00C0B"/>
    <w:rsid w:val="00E07264"/>
    <w:rsid w:val="00E07823"/>
    <w:rsid w:val="00E12FD3"/>
    <w:rsid w:val="00E20B02"/>
    <w:rsid w:val="00E21206"/>
    <w:rsid w:val="00E3038C"/>
    <w:rsid w:val="00E335FE"/>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80DA0"/>
    <w:rsid w:val="00E9289F"/>
    <w:rsid w:val="00E97BF8"/>
    <w:rsid w:val="00EA4FC1"/>
    <w:rsid w:val="00EA5D43"/>
    <w:rsid w:val="00EB27CC"/>
    <w:rsid w:val="00EB3501"/>
    <w:rsid w:val="00EC1742"/>
    <w:rsid w:val="00ED355F"/>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56BA"/>
    <w:rsid w:val="00F700EC"/>
    <w:rsid w:val="00F775FE"/>
    <w:rsid w:val="00F80514"/>
    <w:rsid w:val="00F87513"/>
    <w:rsid w:val="00FA0315"/>
    <w:rsid w:val="00FA6FE0"/>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icjournal.biomedcentral.com/articles/10.1186/s13756-020-00847-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ssets.publishing.service.gov.uk/government/uploads/system/uploads/attachment_data/file/731057/implementing_pathogen_genomics_a_case_study.pdf" TargetMode="External"/><Relationship Id="rId7" Type="http://schemas.openxmlformats.org/officeDocument/2006/relationships/hyperlink" Target="https://journals.asm.org/doi/10.1128/mBio.01780-1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da.gov/media/120585/download" TargetMode="External"/><Relationship Id="rId1" Type="http://schemas.openxmlformats.org/officeDocument/2006/relationships/customXml" Target="../customXml/item1.xml"/><Relationship Id="rId6" Type="http://schemas.openxmlformats.org/officeDocument/2006/relationships/hyperlink" Target="https://journals.asm.org/doi/10.1128/mBio.02693-18" TargetMode="External"/><Relationship Id="rId11"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cdc.gov/training/SIC_CaseStudy/Infection_Salmonella_ptversion.pdf" TargetMode="External"/><Relationship Id="rId19" Type="http://schemas.openxmlformats.org/officeDocument/2006/relationships/hyperlink" Target="https://ec.europa.eu/food/system/files/2016-10/ia_ic_guidance_thirdcountries2009_en.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231EF-E434-4B6F-829E-83FC15FA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30</Pages>
  <Words>8492</Words>
  <Characters>48410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14</cp:revision>
  <dcterms:created xsi:type="dcterms:W3CDTF">2022-02-16T16:54:00Z</dcterms:created>
  <dcterms:modified xsi:type="dcterms:W3CDTF">2022-02-18T18:44:00Z</dcterms:modified>
</cp:coreProperties>
</file>