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0951552D"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sidRPr="00604C5B">
        <w:rPr>
          <w:bCs/>
        </w:rPr>
        <w:t xml:space="preserve"> </w:t>
      </w:r>
      <w:r w:rsidR="00604C5B">
        <w:rPr>
          <w:bCs/>
        </w:rPr>
        <w:t>animal</w:t>
      </w:r>
      <w:r w:rsidR="00604C5B">
        <w:rPr>
          <w:bCs/>
        </w:rPr>
        <w:t xml:space="preserve">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w:t>
      </w:r>
      <w:r w:rsidR="00604C5B">
        <w:rPr>
          <w:bCs/>
        </w:rPr>
        <w:t>animal</w:t>
      </w:r>
      <w:r w:rsidR="00604C5B">
        <w:rPr>
          <w:bCs/>
        </w:rPr>
        <w:t xml:space="preserve">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w:t>
      </w:r>
      <w:r w:rsidR="00B43129" w:rsidRPr="00E615CC">
        <w:rPr>
          <w:rFonts w:cstheme="minorHAnsi"/>
          <w:color w:val="232629"/>
          <w:shd w:val="clear" w:color="auto" w:fill="FFFFFF"/>
        </w:rPr>
        <w:t xml:space="preserve">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in importation” (</w:t>
      </w:r>
      <w:r w:rsidR="00B43129" w:rsidRPr="00E615CC">
        <w:rPr>
          <w:rFonts w:cstheme="minorHAnsi"/>
          <w:bCs/>
        </w:rPr>
        <w:t xml:space="preserve">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w:t>
      </w:r>
      <w:r w:rsidR="00542DE8">
        <w:t>proportion of contaminated food products that are antibiotic-resistant</w:t>
      </w:r>
      <w:r w:rsidR="00542DE8">
        <w:t xml:space="preserve">.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w:t>
      </w:r>
      <w:r w:rsidR="00661912">
        <w:t>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w:t>
      </w:r>
      <w:r w:rsidR="00661912" w:rsidRPr="00E615CC">
        <w:rPr>
          <w:rFonts w:cstheme="minorHAnsi"/>
          <w:color w:val="232629"/>
          <w:shd w:val="clear" w:color="auto" w:fill="FFFFFF"/>
        </w:rPr>
        <w:t xml:space="preserve">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0FA51B56"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 xml:space="preserve">scaling calculation </w:t>
      </w:r>
      <w:r w:rsidR="003743BB" w:rsidRPr="0074647E">
        <w:rPr>
          <w:rFonts w:cstheme="minorHAnsi"/>
          <w:b/>
        </w:rPr>
        <w:t>can be found in the supplementary information for chapter 2</w:t>
      </w:r>
      <w:r w:rsidR="003743BB">
        <w:rPr>
          <w:rFonts w:cstheme="minorHAnsi"/>
        </w:rPr>
        <w:t>. Note that due to a lack of accurate country-level antibiotic usage data, sales were assumed to be a proxy for 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xml:space="preserve">: </w:t>
      </w:r>
      <w:r w:rsidR="00BE1A82">
        <w:rPr>
          <w:bCs/>
        </w:rPr>
        <w:t>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 xml:space="preserve">the proportion of </w:t>
      </w:r>
      <w:r w:rsidR="00E9289F">
        <w:t xml:space="preserve">isolates obtained from </w:t>
      </w:r>
      <w:r w:rsidR="00E9289F">
        <w:t xml:space="preserve">contaminated </w:t>
      </w:r>
      <w:r w:rsidR="00E9289F">
        <w:t>swine carcasses that</w:t>
      </w:r>
      <w:r w:rsidR="00E9289F">
        <w:t xml:space="preserve">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w:t>
      </w:r>
      <w:r w:rsidR="00E9289F">
        <w:t xml:space="preserve">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w:t>
      </w:r>
      <w:r w:rsidR="00121691">
        <w:rPr>
          <w:bCs/>
        </w:rPr>
        <w:lastRenderedPageBreak/>
        <w:t>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w:t>
      </w:r>
      <w:r>
        <w:rPr>
          <w:bCs/>
        </w:rPr>
        <w:t>0.0628</w:t>
      </w:r>
      <w:r>
        <w:rPr>
          <w:bCs/>
        </w:rPr>
        <w:t>)</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m:t>
            </m:r>
            <m:r>
              <w:rPr>
                <w:rFonts w:ascii="Cambria Math" w:hAnsi="Cambria Math" w:cstheme="minorHAnsi"/>
              </w:rPr>
              <m:t>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r w:rsidR="00675838">
        <w:rPr>
          <w:rFonts w:cstheme="minorHAnsi"/>
        </w:rPr>
        <w:t>(</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m:t>
        </m:r>
        <m:r>
          <m:rPr>
            <m:sty m:val="p"/>
          </m:rPr>
          <w:rPr>
            <w:rFonts w:ascii="Cambria Math" w:eastAsiaTheme="minorEastAsia" w:hAnsi="Cambria Math" w:cstheme="minorHAnsi"/>
          </w:rPr>
          <m:t xml:space="preserve"> </m:t>
        </m:r>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r>
              <w:rPr>
                <w:rFonts w:ascii="Cambria Math" w:hAnsi="Cambria Math" w:cstheme="minorHAnsi"/>
                <w:highlight w:val="yellow"/>
              </w:rPr>
              <m:t xml:space="preserve">,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w:t>
      </w:r>
      <w:r w:rsidR="00A42CCF">
        <w:rPr>
          <w:rFonts w:cstheme="minorHAnsi"/>
        </w:rPr>
        <w:t xml:space="preserve">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w:t>
      </w:r>
      <w:r w:rsidR="00591CB7" w:rsidRPr="00591CB7">
        <w:rPr>
          <w:b/>
          <w:bCs/>
          <w:highlight w:val="yellow"/>
        </w:rPr>
        <w:t>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00F4701A" w14:textId="5DFC48B6" w:rsidR="00B72358" w:rsidRPr="00B72358" w:rsidRDefault="00B72358" w:rsidP="00B72358">
      <w:pPr>
        <w:spacing w:after="0" w:line="360" w:lineRule="auto"/>
        <w:jc w:val="both"/>
        <w:rPr>
          <w:bCs/>
        </w:rPr>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 xml:space="preserve">).  </w:t>
      </w:r>
    </w:p>
    <w:p w14:paraId="490B4673" w14:textId="3168FDE4" w:rsidR="005B2921" w:rsidRPr="00B72358" w:rsidRDefault="00FD3584" w:rsidP="00D144AA">
      <w:pPr>
        <w:pStyle w:val="ListParagraph"/>
        <w:numPr>
          <w:ilvl w:val="0"/>
          <w:numId w:val="8"/>
        </w:numPr>
        <w:spacing w:after="0" w:line="360" w:lineRule="auto"/>
        <w:rPr>
          <w:bCs/>
          <w:highlight w:val="yellow"/>
        </w:rPr>
      </w:pPr>
      <w:r w:rsidRPr="00B72358">
        <w:rPr>
          <w:bCs/>
          <w:highlight w:val="yellow"/>
        </w:rPr>
        <w:t xml:space="preserve">What the model fit looks like without import – fit the model without import and identify the model fits and the closeness to the outcome measure – see if there are qualitative differences when we change antibiotic usage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ampicillin-resistant</w:t>
      </w:r>
      <w:r w:rsidR="00E70D78">
        <w:rPr>
          <w:bCs/>
        </w:rPr>
        <w:t xml:space="preserve">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Pr>
          <w:bCs/>
        </w:rPr>
        <w:t>(</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Pr>
          <w:bCs/>
        </w:rPr>
        <w:t>(</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0CD7C03E"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proportion of imports contaminated</w:t>
      </w:r>
      <w:r w:rsidR="00A42CCF">
        <w:rPr>
          <w:bCs/>
        </w:rPr>
        <w:t xml:space="preserve">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Pr>
          <w:bCs/>
        </w:rPr>
        <w:t>(</w:t>
      </w:r>
      <w:r w:rsidR="00700611" w:rsidRPr="00640702">
        <w:rPr>
          <w:b/>
          <w:bCs/>
          <w:highlight w:val="yellow"/>
        </w:rPr>
        <w:t>Figure</w:t>
      </w:r>
      <w:r w:rsidR="00700611" w:rsidRPr="00700611">
        <w:rPr>
          <w:b/>
          <w:bCs/>
          <w:highlight w:val="yellow"/>
        </w:rPr>
        <w:t xml:space="preserve"> </w:t>
      </w:r>
      <w:r w:rsidR="00700611" w:rsidRPr="00700611">
        <w:rPr>
          <w:b/>
          <w:bCs/>
          <w:highlight w:val="yellow"/>
        </w:rPr>
        <w:t>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422EE7">
        <w:rPr>
          <w:bCs/>
        </w:rPr>
        <w:t>ECDC datasets (</w:t>
      </w:r>
      <w:r w:rsidR="00422EE7" w:rsidRPr="00A52CF4">
        <w:rPr>
          <w:b/>
          <w:bCs/>
          <w:highlight w:val="yellow"/>
        </w:rPr>
        <w:t>SUPPLEMENTARY</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w:t>
      </w:r>
      <w:r w:rsidR="004240B0">
        <w:rPr>
          <w:bCs/>
        </w:rPr>
        <w:t>proportion of ampicillin-resistant contaminated imports</w:t>
      </w:r>
      <w:r w:rsidR="004240B0">
        <w:rPr>
          <w:bCs/>
        </w:rPr>
        <w:t xml:space="preserve">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w:t>
      </w:r>
      <w:r w:rsidR="007735FA">
        <w:rPr>
          <w:rFonts w:cstheme="minorHAnsi"/>
          <w:bCs/>
        </w:rPr>
        <w:t xml:space="preserve">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w:t>
      </w:r>
      <w:r w:rsidR="00455EA6" w:rsidRPr="00455EA6">
        <w:rPr>
          <w:b/>
          <w:highlight w:val="yellow"/>
        </w:rPr>
        <w:t>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Pr>
          <w:bCs/>
        </w:rPr>
        <w:t>(</w:t>
      </w:r>
      <w:r w:rsidR="00455EA6" w:rsidRPr="00A52CF4">
        <w:rPr>
          <w:b/>
          <w:bCs/>
          <w:highlight w:val="yellow"/>
        </w:rPr>
        <w:t>SUPPLEMENTARY</w:t>
      </w:r>
      <w:r w:rsidR="00455EA6">
        <w:rPr>
          <w:bCs/>
        </w:rPr>
        <w:t>)</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w:t>
      </w:r>
      <w:r w:rsidR="00455EA6">
        <w:rPr>
          <w:bCs/>
        </w:rPr>
        <w:t xml:space="preserve">resulted in the </w:t>
      </w:r>
      <w:r w:rsidR="00455EA6">
        <w:rPr>
          <w:bCs/>
        </w:rPr>
        <w:t>opposite effec</w:t>
      </w:r>
      <w:r w:rsidR="00455EA6">
        <w:rPr>
          <w:bCs/>
        </w:rPr>
        <w:t xml:space="preserve">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w:t>
      </w:r>
      <w:r w:rsidR="00164733">
        <w:rPr>
          <w:bCs/>
        </w:rPr>
        <w:t>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Pr>
          <w:bCs/>
        </w:rPr>
        <w:t>(</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w:t>
      </w:r>
      <w:r w:rsidR="00E7611D">
        <w:rPr>
          <w:bCs/>
        </w:rPr>
        <w:t>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Pr>
          <w:bCs/>
        </w:rPr>
        <w:t>(</w:t>
      </w:r>
      <w:r w:rsidR="00455EA6" w:rsidRPr="00455EA6">
        <w:rPr>
          <w:b/>
          <w:highlight w:val="yellow"/>
        </w:rPr>
        <w:t xml:space="preserve">Figure </w:t>
      </w:r>
      <w:r w:rsidR="00455EA6" w:rsidRPr="00455EA6">
        <w:rPr>
          <w:b/>
          <w:highlight w:val="yellow"/>
        </w:rPr>
        <w:t>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Pr>
          <w:bCs/>
        </w:rPr>
        <w:t>(</w:t>
      </w:r>
      <w:r w:rsidR="00455EA6" w:rsidRPr="00455EA6">
        <w:rPr>
          <w:b/>
          <w:highlight w:val="yellow"/>
        </w:rPr>
        <w:t>Figure 6</w:t>
      </w:r>
      <w:r w:rsidR="00455EA6" w:rsidRPr="00455EA6">
        <w:rPr>
          <w:b/>
          <w:highlight w:val="yellow"/>
        </w:rPr>
        <w:t>B</w:t>
      </w:r>
      <w:r w:rsidR="00455EA6">
        <w:rPr>
          <w:bCs/>
        </w:rPr>
        <w:t>)</w:t>
      </w:r>
      <w:r w:rsidR="00E519A8">
        <w:rPr>
          <w:bCs/>
        </w:rPr>
        <w:t xml:space="preserve">. </w:t>
      </w:r>
      <w:r w:rsidR="00533964">
        <w:rPr>
          <w:bCs/>
        </w:rPr>
        <w:t>S</w:t>
      </w:r>
      <w:r w:rsidR="00452015">
        <w:rPr>
          <w:bCs/>
        </w:rPr>
        <w:t xml:space="preserve">econd order effects </w:t>
      </w:r>
      <w:r w:rsidR="003E131F">
        <w:rPr>
          <w:bCs/>
        </w:rPr>
        <w:t xml:space="preserve">comprised </w:t>
      </w:r>
      <w:proofErr w:type="gramStart"/>
      <w:r w:rsidR="003E131F">
        <w:rPr>
          <w:bCs/>
        </w:rPr>
        <w:t>the</w:t>
      </w:r>
      <w:r w:rsidR="00452015">
        <w:rPr>
          <w:bCs/>
        </w:rPr>
        <w:t xml:space="preserve"> majority </w:t>
      </w:r>
      <w:r w:rsidR="003E131F">
        <w:rPr>
          <w:bCs/>
        </w:rPr>
        <w:t>of</w:t>
      </w:r>
      <w:proofErr w:type="gramEnd"/>
      <w:r w:rsidR="003E131F">
        <w:rPr>
          <w:bCs/>
        </w:rPr>
        <w:t xml:space="preserve">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Pr>
          <w:bCs/>
        </w:rPr>
        <w:t>(</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09199340" w14:textId="1A9110D7" w:rsidR="001B63B2" w:rsidRDefault="00D360D4" w:rsidP="001B63B2">
      <w:pPr>
        <w:spacing w:after="0" w:line="360" w:lineRule="auto"/>
        <w:jc w:val="both"/>
        <w:rPr>
          <w:rFonts w:cstheme="minorHAnsi"/>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Pr>
          <w:bCs/>
        </w:rPr>
        <w:t>(</w:t>
      </w:r>
      <w:r w:rsidR="00493807" w:rsidRPr="00036FCA">
        <w:rPr>
          <w:bCs/>
          <w:highlight w:val="yellow"/>
        </w:rPr>
        <w:t>X</w:t>
      </w:r>
      <w:r w:rsidR="00493807">
        <w:rPr>
          <w:bCs/>
        </w:rPr>
        <w:t xml:space="preserve">%; </w:t>
      </w:r>
      <w:r w:rsidR="00493807" w:rsidRPr="0047606F">
        <w:rPr>
          <w:bCs/>
          <w:highlight w:val="yellow"/>
        </w:rPr>
        <w:t>X</w:t>
      </w:r>
      <w:r w:rsidR="00493807">
        <w:rPr>
          <w:bCs/>
        </w:rPr>
        <w:t>%)</w:t>
      </w:r>
      <w:r w:rsidR="00493807">
        <w:rPr>
          <w:bCs/>
        </w:rPr>
        <w:t xml:space="preserve">. </w:t>
      </w:r>
      <w:r w:rsidR="001B63B2">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w:t>
      </w:r>
      <w:r w:rsidR="005D1387">
        <w:rPr>
          <w:bCs/>
          <w:noProof/>
          <w:lang w:eastAsia="en-GB"/>
        </w:rPr>
        <w:t xml:space="preserve"> under baseline levels of import </w:t>
      </w:r>
      <w:r w:rsidR="005D1387">
        <w:rPr>
          <w:bCs/>
          <w:noProof/>
          <w:lang w:eastAsia="en-GB"/>
        </w:rPr>
        <w:t>(</w:t>
      </w:r>
      <w:r w:rsidR="005D1387">
        <w:rPr>
          <w:rFonts w:cstheme="minorHAnsi"/>
          <w:bCs/>
          <w:noProof/>
          <w:lang w:eastAsia="en-GB"/>
        </w:rPr>
        <w:t>ψ</w:t>
      </w:r>
      <w:r w:rsidR="005D1387">
        <w:rPr>
          <w:bCs/>
          <w:noProof/>
          <w:lang w:eastAsia="en-GB"/>
        </w:rPr>
        <w:t xml:space="preserve"> = 0.656) </w:t>
      </w:r>
      <w:r w:rsidR="005D1387">
        <w:rPr>
          <w:bCs/>
          <w:noProof/>
          <w:lang w:eastAsia="en-GB"/>
        </w:rPr>
        <w:t xml:space="preserve">was 7% and reached a </w:t>
      </w:r>
      <w:r w:rsidR="005D1387">
        <w:rPr>
          <w:bCs/>
          <w:noProof/>
          <w:lang w:eastAsia="en-GB"/>
        </w:rPr>
        <w:t>minimum/</w:t>
      </w:r>
      <w:r w:rsidR="005D1387">
        <w:rPr>
          <w:bCs/>
          <w:noProof/>
          <w:lang w:eastAsia="en-GB"/>
        </w:rPr>
        <w:t>maximum value of X%</w:t>
      </w:r>
      <w:r w:rsidR="005D1387">
        <w:rPr>
          <w:bCs/>
          <w:noProof/>
          <w:lang w:eastAsia="en-GB"/>
        </w:rPr>
        <w:t xml:space="preserve">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w:t>
      </w:r>
      <w:r w:rsidR="005D1387">
        <w:rPr>
          <w:bCs/>
          <w:noProof/>
          <w:lang w:eastAsia="en-GB"/>
        </w:rPr>
        <w:t xml:space="preserve">.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rPr>
        <w:drawing>
          <wp:inline distT="0" distB="0" distL="0" distR="0" wp14:anchorId="44F2E992" wp14:editId="751E8590">
            <wp:extent cx="3945467" cy="3945467"/>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404" cy="3950404"/>
                    </a:xfrm>
                    <a:prstGeom prst="rect">
                      <a:avLst/>
                    </a:prstGeom>
                    <a:noFill/>
                    <a:ln>
                      <a:noFill/>
                    </a:ln>
                  </pic:spPr>
                </pic:pic>
              </a:graphicData>
            </a:graphic>
          </wp:inline>
        </w:drawing>
      </w:r>
    </w:p>
    <w:p w14:paraId="660FD89D" w14:textId="07330A47"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we can split the figure into two sections:</w:t>
      </w:r>
      <w:r w:rsidR="0061150E" w:rsidRPr="0061150E">
        <w:rPr>
          <w:b/>
          <w:bCs/>
          <w:noProof/>
          <w:lang w:eastAsia="en-GB"/>
        </w:rPr>
        <w:t xml:space="preserve"> </w:t>
      </w:r>
      <w:r w:rsidR="0061150E" w:rsidRPr="0061150E">
        <w:rPr>
          <w:b/>
          <w:bCs/>
          <w:noProof/>
          <w:highlight w:val="yellow"/>
          <w:lang w:eastAsia="en-GB"/>
        </w:rPr>
        <w:t>XXX</w:t>
      </w:r>
    </w:p>
    <w:p w14:paraId="5872459B" w14:textId="7589C76F" w:rsidR="00E554A8" w:rsidRDefault="00C70288" w:rsidP="009175FE">
      <w:pPr>
        <w:spacing w:after="0" w:line="360" w:lineRule="auto"/>
        <w:jc w:val="both"/>
        <w:rPr>
          <w:bCs/>
          <w:noProof/>
          <w:lang w:eastAsia="en-GB"/>
        </w:rPr>
      </w:pPr>
      <w:r>
        <w:rPr>
          <w:bCs/>
          <w:noProof/>
          <w:lang w:eastAsia="en-GB"/>
        </w:rPr>
        <w:lastRenderedPageBreak/>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xml:space="preserve">. The first area contains </w:t>
      </w:r>
      <w:r>
        <w:rPr>
          <w:rFonts w:cstheme="minorHAnsi"/>
          <w:bCs/>
          <w:noProof/>
          <w:lang w:eastAsia="en-GB"/>
        </w:rPr>
        <w:t>EoC/ψ</w:t>
      </w:r>
      <w:r>
        <w:rPr>
          <w:rFonts w:cstheme="minorHAnsi"/>
          <w:bCs/>
          <w:noProof/>
          <w:lang w:eastAsia="en-GB"/>
        </w:rPr>
        <w:t xml:space="preserve"> curves similar to the baseline relationship (bottom-right of plot), where </w:t>
      </w:r>
      <w:r>
        <w:rPr>
          <w:bCs/>
          <w:noProof/>
          <w:lang w:eastAsia="en-GB"/>
        </w:rPr>
        <w:t xml:space="preserve">EoC </w:t>
      </w:r>
      <w:r>
        <w:rPr>
          <w:bCs/>
          <w:noProof/>
          <w:lang w:eastAsia="en-GB"/>
        </w:rPr>
        <w:t>is low f</w:t>
      </w:r>
      <w:r>
        <w:rPr>
          <w:bCs/>
          <w:noProof/>
          <w:lang w:eastAsia="en-GB"/>
        </w:rPr>
        <w:t>or a large range of import values,</w:t>
      </w:r>
      <w:r>
        <w:rPr>
          <w:bCs/>
          <w:noProof/>
          <w:lang w:eastAsia="en-GB"/>
        </w:rPr>
        <w:t xml:space="preserve"> and increasing r</w:t>
      </w:r>
      <w:r>
        <w:rPr>
          <w:bCs/>
          <w:noProof/>
          <w:lang w:eastAsia="en-GB"/>
        </w:rPr>
        <w:t>apidly when import is at low levels</w:t>
      </w:r>
      <w:r>
        <w:rPr>
          <w:bCs/>
          <w:noProof/>
          <w:lang w:eastAsia="en-GB"/>
        </w:rPr>
        <w:t>.</w:t>
      </w:r>
      <w:r w:rsidRPr="00C70288">
        <w:rPr>
          <w:bCs/>
          <w:noProof/>
          <w:lang w:eastAsia="en-GB"/>
        </w:rPr>
        <w:t xml:space="preserve"> </w:t>
      </w:r>
      <w:r>
        <w:rPr>
          <w:bCs/>
          <w:noProof/>
          <w:lang w:eastAsia="en-GB"/>
        </w:rPr>
        <w:t>This has a EoC/</w:t>
      </w:r>
      <w:r>
        <w:rPr>
          <w:rFonts w:cstheme="minorHAnsi"/>
          <w:bCs/>
          <w:noProof/>
          <w:lang w:eastAsia="en-GB"/>
        </w:rPr>
        <w:t xml:space="preserve">ψ </w:t>
      </w:r>
      <w:r>
        <w:rPr>
          <w:bCs/>
          <w:noProof/>
          <w:lang w:eastAsia="en-GB"/>
        </w:rPr>
        <w:t>curve with a shape similar to an exponential growth curve and we can denote this area as “greater impact of import”.</w:t>
      </w:r>
      <w:r>
        <w:rPr>
          <w:bCs/>
          <w:noProof/>
          <w:lang w:eastAsia="en-GB"/>
        </w:rPr>
        <w:t xml:space="preserve"> The second area contains </w:t>
      </w:r>
      <w:r>
        <w:rPr>
          <w:rFonts w:cstheme="minorHAnsi"/>
          <w:bCs/>
          <w:noProof/>
          <w:lang w:eastAsia="en-GB"/>
        </w:rPr>
        <w:t>EoC/ψ</w:t>
      </w:r>
      <w:r>
        <w:rPr>
          <w:rFonts w:cstheme="minorHAnsi"/>
          <w:bCs/>
          <w:noProof/>
          <w:lang w:eastAsia="en-GB"/>
        </w:rPr>
        <w:t xml:space="preserve">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1903AF9C" w:rsidR="000702C0"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w:t>
      </w:r>
      <w:r w:rsidR="000702C0">
        <w:t xml:space="preserve"> </w:t>
      </w:r>
      <w:r w:rsidR="000702C0">
        <w:t>(</w:t>
      </w:r>
      <w:proofErr w:type="spellStart"/>
      <w:r w:rsidR="000702C0">
        <w:t>PropRes</w:t>
      </w:r>
      <w:r w:rsidR="000702C0" w:rsidRPr="00BA13E1">
        <w:rPr>
          <w:vertAlign w:val="subscript"/>
        </w:rPr>
        <w:t>Imp</w:t>
      </w:r>
      <w:proofErr w:type="spellEnd"/>
      <w:r w:rsidR="000702C0">
        <w:t xml:space="preserve">) </w:t>
      </w:r>
      <w:r w:rsidR="000702C0">
        <w:t xml:space="preserve">and </w:t>
      </w:r>
      <w:r w:rsidR="000702C0">
        <w:t xml:space="preserve">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w:t>
      </w:r>
      <w:r w:rsidR="000702C0">
        <w:t xml:space="preserve">. </w:t>
      </w:r>
    </w:p>
    <w:p w14:paraId="3D74BF0D" w14:textId="1C8D6FCC" w:rsidR="00EA5D43" w:rsidRPr="00EA5D43" w:rsidRDefault="00EA5D43" w:rsidP="00EA5D43">
      <w:pPr>
        <w:pStyle w:val="ListParagraph"/>
        <w:numPr>
          <w:ilvl w:val="0"/>
          <w:numId w:val="8"/>
        </w:numPr>
        <w:spacing w:after="0" w:line="360" w:lineRule="auto"/>
        <w:jc w:val="both"/>
        <w:rPr>
          <w:bCs/>
        </w:rPr>
      </w:pPr>
      <w:r>
        <w:rPr>
          <w:bCs/>
        </w:rPr>
        <w:t>NEED TO REALLY REINFORCE THAT WE CHANGE THE FRACIMP AND PROPRESIMP UNIFORMLY ACROSS ALL COUNTRIES</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FracImp and PropResImp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w:t>
      </w:r>
      <w:r w:rsidR="000702C0">
        <w:rPr>
          <w:bCs/>
          <w:noProof/>
          <w:lang w:eastAsia="en-GB"/>
        </w:rPr>
        <w:t xml:space="preserve"> ranged from</w:t>
      </w:r>
      <w:r w:rsidR="000702C0">
        <w:rPr>
          <w:bCs/>
          <w:noProof/>
          <w:lang w:eastAsia="en-GB"/>
        </w:rPr>
        <w:t>,</w:t>
      </w:r>
      <w:r w:rsidR="000702C0">
        <w:rPr>
          <w:bCs/>
          <w:noProof/>
          <w:lang w:eastAsia="en-GB"/>
        </w:rPr>
        <w:t xml:space="preserve">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p w14:paraId="6631C345" w14:textId="3CA0AE41" w:rsidR="00D97CC7" w:rsidRDefault="00DA7F3D" w:rsidP="00DB3D19">
      <w:pPr>
        <w:spacing w:after="0" w:line="360" w:lineRule="auto"/>
        <w:jc w:val="both"/>
        <w:rPr>
          <w:bCs/>
        </w:rPr>
      </w:pPr>
      <w:r>
        <w:rPr>
          <w:bCs/>
        </w:rPr>
        <w:lastRenderedPageBreak/>
        <w:t xml:space="preserve">Decreasing the </w:t>
      </w:r>
      <w:r w:rsidR="00C44636">
        <w:t>proportion of contaminated food imports</w:t>
      </w:r>
      <w:r w:rsidR="00C44636">
        <w:t xml:space="preserve"> </w:t>
      </w:r>
      <w:r w:rsidR="00C44636">
        <w:rPr>
          <w:bCs/>
        </w:rPr>
        <w:t>(</w:t>
      </w:r>
      <w:proofErr w:type="spellStart"/>
      <w:r w:rsidR="00C44636">
        <w:rPr>
          <w:bCs/>
        </w:rPr>
        <w:t>Frac</w:t>
      </w:r>
      <w:r w:rsidR="00C44636" w:rsidRPr="008667E4">
        <w:rPr>
          <w:bCs/>
          <w:vertAlign w:val="subscript"/>
        </w:rPr>
        <w:t>Imp</w:t>
      </w:r>
      <w:proofErr w:type="spellEnd"/>
      <w:r w:rsidR="00C44636">
        <w:rPr>
          <w:bCs/>
        </w:rPr>
        <w:t>)</w:t>
      </w:r>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w:t>
      </w:r>
      <w:r w:rsidR="00C44636">
        <w:t xml:space="preserve">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16C189E2" w:rsidR="00EA5D43" w:rsidRP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w:t>
      </w:r>
      <w:r>
        <w:t xml:space="preserve">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w:t>
      </w:r>
      <w:r>
        <w:rPr>
          <w:rFonts w:cstheme="minorHAnsi"/>
          <w:bCs/>
        </w:rPr>
        <w:t>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w:t>
      </w:r>
      <w:r>
        <w:rPr>
          <w:rFonts w:cstheme="minorHAnsi"/>
          <w:bCs/>
        </w:rPr>
        <w:t xml:space="preserve">ψ </w:t>
      </w:r>
      <w:r>
        <w:rPr>
          <w:rFonts w:cstheme="minorHAnsi"/>
          <w:bCs/>
        </w:rPr>
        <w:t>still having an impact on Eo</w:t>
      </w:r>
      <w:r>
        <w:rPr>
          <w:rFonts w:cstheme="minorHAnsi"/>
          <w:bCs/>
        </w:rPr>
        <w:t xml:space="preserve">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 xml:space="preserve">minor effects on the shape of the relationship between EoC/ψ.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DB3D19">
        <w:rPr>
          <w:bCs/>
        </w:rPr>
        <w:t xml:space="preserve"> relationship where EoC is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p>
    <w:p w14:paraId="5638DEE7" w14:textId="2F62FA63" w:rsidR="00741FA0" w:rsidRPr="003F0E81" w:rsidRDefault="00741FA0" w:rsidP="00741FA0">
      <w:pPr>
        <w:pStyle w:val="ListParagraph"/>
        <w:numPr>
          <w:ilvl w:val="0"/>
          <w:numId w:val="8"/>
        </w:numPr>
        <w:spacing w:after="0" w:line="360" w:lineRule="auto"/>
        <w:jc w:val="both"/>
        <w:rPr>
          <w:bCs/>
          <w:highlight w:val="yellow"/>
        </w:rPr>
      </w:pPr>
      <w:r w:rsidRPr="003F0E81">
        <w:rPr>
          <w:bCs/>
          <w:highlight w:val="yellow"/>
        </w:rPr>
        <w:t xml:space="preserve">Need another supplementary plot (could probably just do it in the form of A) and B) -where we show for every value of eta – we plot the change in the level of contamination on carcasses – with all other values being baseline (x axis – eta, y axis </w:t>
      </w:r>
      <w:proofErr w:type="spellStart"/>
      <w:r w:rsidRPr="003F0E81">
        <w:rPr>
          <w:bCs/>
          <w:highlight w:val="yellow"/>
        </w:rPr>
        <w:t>levl</w:t>
      </w:r>
      <w:proofErr w:type="spellEnd"/>
      <w:r w:rsidRPr="003F0E81">
        <w:rPr>
          <w:bCs/>
          <w:highlight w:val="yellow"/>
        </w:rPr>
        <w:t xml:space="preserve"> of contamination – red line show </w:t>
      </w:r>
      <w:proofErr w:type="gramStart"/>
      <w:r w:rsidRPr="003F0E81">
        <w:rPr>
          <w:bCs/>
          <w:highlight w:val="yellow"/>
        </w:rPr>
        <w:t>baseline )</w:t>
      </w:r>
      <w:proofErr w:type="gramEnd"/>
      <w:r w:rsidRPr="003F0E81">
        <w:rPr>
          <w:bCs/>
          <w:highlight w:val="yellow"/>
        </w:rPr>
        <w:t xml:space="preserve"> </w:t>
      </w:r>
    </w:p>
    <w:p w14:paraId="761EF172" w14:textId="1C21A89D" w:rsidR="00DB3D19" w:rsidRDefault="00DB3D19" w:rsidP="00DB3D19">
      <w:pPr>
        <w:spacing w:after="0" w:line="360" w:lineRule="auto"/>
        <w:jc w:val="both"/>
        <w:rPr>
          <w:bCs/>
        </w:rPr>
      </w:pPr>
    </w:p>
    <w:p w14:paraId="16A60CA7" w14:textId="07C8D7A6"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w:t>
      </w:r>
      <w:proofErr w:type="gramStart"/>
      <w:r w:rsidR="00E20B02">
        <w:rPr>
          <w:bCs/>
        </w:rPr>
        <w:t>Beta(</w:t>
      </w:r>
      <w:proofErr w:type="gramEnd"/>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being distributed equally across importing countries or import being prioritised from a select few countries. </w:t>
      </w:r>
      <w:r w:rsidR="00E00C0B">
        <w:rPr>
          <w:bCs/>
        </w:rPr>
        <w:t>Not</w:t>
      </w:r>
      <w:r w:rsidR="00A53CE8">
        <w:rPr>
          <w:bCs/>
        </w:rPr>
        <w:t>e that the total sum of ShareX</w:t>
      </w:r>
      <w:r w:rsidR="00F300B4">
        <w:rPr>
          <w:bCs/>
        </w:rPr>
        <w:t xml:space="preserve"> must sum to 1,</w:t>
      </w:r>
      <w:r w:rsidR="00E00C0B">
        <w:rPr>
          <w:bCs/>
        </w:rPr>
        <w:t xml:space="preserve"> therefore each group of ten samples was scaled by the sum of the samples, </w:t>
      </w:r>
      <m:oMath>
        <m:nary>
          <m:naryPr>
            <m:chr m:val="∑"/>
            <m:limLoc m:val="undOvr"/>
            <m:ctrlPr>
              <w:rPr>
                <w:rFonts w:ascii="Cambria Math" w:hAnsi="Cambria Math"/>
                <w:bCs/>
                <w:i/>
                <w:highlight w:val="yellow"/>
              </w:rPr>
            </m:ctrlPr>
          </m:naryPr>
          <m:sub>
            <m:r>
              <w:rPr>
                <w:rFonts w:ascii="Cambria Math" w:hAnsi="Cambria Math"/>
                <w:highlight w:val="yellow"/>
              </w:rPr>
              <m:t>1</m:t>
            </m:r>
          </m:sub>
          <m:sup>
            <m:r>
              <w:rPr>
                <w:rFonts w:ascii="Cambria Math" w:hAnsi="Cambria Math"/>
                <w:highlight w:val="yellow"/>
              </w:rPr>
              <m:t>10</m:t>
            </m:r>
          </m:sup>
          <m:e>
            <m:f>
              <m:fPr>
                <m:ctrlPr>
                  <w:rPr>
                    <w:rFonts w:ascii="Cambria Math" w:hAnsi="Cambria Math"/>
                    <w:bCs/>
                    <w:i/>
                    <w:highlight w:val="yellow"/>
                  </w:rPr>
                </m:ctrlPr>
              </m:fPr>
              <m:num>
                <m:r>
                  <w:rPr>
                    <w:rFonts w:ascii="Cambria Math" w:hAnsi="Cambria Math"/>
                    <w:highlight w:val="yellow"/>
                  </w:rPr>
                  <m:t>ShareX</m:t>
                </m:r>
              </m:num>
              <m:den>
                <m:r>
                  <w:rPr>
                    <w:rFonts w:ascii="Cambria Math" w:hAnsi="Cambria Math"/>
                    <w:highlight w:val="yellow"/>
                  </w:rPr>
                  <m:t>Sum(ShareX)</m:t>
                </m:r>
              </m:den>
            </m:f>
          </m:e>
        </m:nary>
      </m:oMath>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4ABE7883"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 xml:space="preserve">more heterogeneity, </w:t>
      </w:r>
      <w:proofErr w:type="gramStart"/>
      <w:r w:rsidRPr="0029369D">
        <w:rPr>
          <w:bCs/>
        </w:rPr>
        <w:t>Beta(</w:t>
      </w:r>
      <w:proofErr w:type="gramEnd"/>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As </w:t>
      </w:r>
      <w:r w:rsidR="00F300B4" w:rsidRPr="0029369D">
        <w:rPr>
          <w:bCs/>
        </w:rPr>
        <w:t xml:space="preserve">an </w:t>
      </w:r>
      <w:r w:rsidRPr="0029369D">
        <w:rPr>
          <w:bCs/>
        </w:rPr>
        <w:t>example</w:t>
      </w:r>
      <w:r w:rsidR="00F300B4" w:rsidRPr="0029369D">
        <w:rPr>
          <w:bCs/>
        </w:rPr>
        <w:t>,</w:t>
      </w:r>
      <w:r w:rsidRPr="0029369D">
        <w:rPr>
          <w:bCs/>
        </w:rPr>
        <w:t xml:space="preserve"> the minimum and maximum</w:t>
      </w:r>
      <w:r w:rsidR="004D51C3">
        <w:rPr>
          <w:bCs/>
        </w:rPr>
        <w:t xml:space="preserve"> EoC</w:t>
      </w:r>
      <w:r w:rsidRPr="0029369D">
        <w:rPr>
          <w:bCs/>
        </w:rPr>
        <w:t xml:space="preserve"> value</w:t>
      </w:r>
      <w:r w:rsidR="004D51C3">
        <w:rPr>
          <w:bCs/>
        </w:rPr>
        <w:t>s</w:t>
      </w:r>
      <w:r w:rsidRPr="0029369D">
        <w:rPr>
          <w:bCs/>
        </w:rPr>
        <w:t xml:space="preserve"> for baseline values of </w:t>
      </w:r>
      <w:r w:rsidR="004D51C3">
        <w:rPr>
          <w:rFonts w:cstheme="minorHAnsi"/>
          <w:bCs/>
        </w:rPr>
        <w:t xml:space="preserve">ψ (ψ = 0.656) </w:t>
      </w:r>
      <w:r w:rsidRPr="0029369D">
        <w:rPr>
          <w:bCs/>
        </w:rPr>
        <w:t xml:space="preserve">were </w:t>
      </w:r>
      <w:r w:rsidRPr="004D51C3">
        <w:rPr>
          <w:bCs/>
          <w:highlight w:val="yellow"/>
        </w:rPr>
        <w:t>X</w:t>
      </w:r>
      <w:r w:rsidR="004D51C3">
        <w:rPr>
          <w:bCs/>
        </w:rPr>
        <w:t>%</w:t>
      </w:r>
      <w:r w:rsidRPr="0029369D">
        <w:rPr>
          <w:bCs/>
        </w:rPr>
        <w:t xml:space="preserve"> and </w:t>
      </w:r>
      <w:r w:rsidRPr="004D51C3">
        <w:rPr>
          <w:bCs/>
          <w:highlight w:val="yellow"/>
        </w:rPr>
        <w:t>X</w:t>
      </w:r>
      <w:r w:rsidR="004D51C3">
        <w:rPr>
          <w:bCs/>
        </w:rPr>
        <w:t>%</w:t>
      </w:r>
      <w:r w:rsidRPr="0029369D">
        <w:rPr>
          <w:bCs/>
        </w:rPr>
        <w:t xml:space="preserve"> with </w:t>
      </w:r>
      <w:proofErr w:type="gramStart"/>
      <w:r w:rsidRPr="0029369D">
        <w:rPr>
          <w:bCs/>
        </w:rPr>
        <w:t>Beta(</w:t>
      </w:r>
      <w:proofErr w:type="gramEnd"/>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compared to </w:t>
      </w:r>
      <w:r w:rsidRPr="004D51C3">
        <w:rPr>
          <w:bCs/>
          <w:highlight w:val="yellow"/>
        </w:rPr>
        <w:t>X</w:t>
      </w:r>
      <w:r w:rsidR="004D51C3">
        <w:rPr>
          <w:bCs/>
        </w:rPr>
        <w:t>%</w:t>
      </w:r>
      <w:r w:rsidRPr="0029369D">
        <w:rPr>
          <w:bCs/>
        </w:rPr>
        <w:t xml:space="preserve"> and </w:t>
      </w:r>
      <w:r w:rsidRPr="004D51C3">
        <w:rPr>
          <w:bCs/>
          <w:highlight w:val="yellow"/>
        </w:rPr>
        <w:t>X</w:t>
      </w:r>
      <w:r w:rsidR="004D51C3">
        <w:rPr>
          <w:bCs/>
        </w:rPr>
        <w:t>%</w:t>
      </w:r>
      <w:r w:rsidRPr="0029369D">
        <w:rPr>
          <w:bCs/>
        </w:rPr>
        <w:t xml:space="preserve"> for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w:t>
      </w:r>
    </w:p>
    <w:p w14:paraId="64AB7AC4" w14:textId="0520ECBC" w:rsidR="00ED355F" w:rsidRPr="00591CB7" w:rsidRDefault="00DE3E58" w:rsidP="00591CB7">
      <w:pPr>
        <w:pStyle w:val="ListParagraph"/>
        <w:numPr>
          <w:ilvl w:val="0"/>
          <w:numId w:val="8"/>
        </w:numPr>
        <w:spacing w:after="0" w:line="360" w:lineRule="auto"/>
        <w:jc w:val="both"/>
        <w:rPr>
          <w:bCs/>
        </w:rPr>
      </w:pPr>
      <w:r w:rsidRPr="00591CB7">
        <w:rPr>
          <w:bCs/>
          <w:highlight w:val="yellow"/>
        </w:rPr>
        <w:t>This suggests that if import is distributed more heterogeneously across importing countries</w:t>
      </w:r>
      <w:r w:rsidR="00DF6D86" w:rsidRPr="00591CB7">
        <w:rPr>
          <w:bCs/>
          <w:highlight w:val="yellow"/>
        </w:rPr>
        <w:t>, then there is the potential for greater</w:t>
      </w:r>
      <w:r w:rsidRPr="00591CB7">
        <w:rPr>
          <w:bCs/>
          <w:highlight w:val="yellow"/>
        </w:rPr>
        <w:t xml:space="preserve"> uncertainty </w:t>
      </w:r>
      <w:r w:rsidR="00F300B4" w:rsidRPr="00591CB7">
        <w:rPr>
          <w:bCs/>
          <w:highlight w:val="yellow"/>
        </w:rPr>
        <w:t>concerning</w:t>
      </w:r>
      <w:r w:rsidRPr="00591CB7">
        <w:rPr>
          <w:bCs/>
          <w:highlight w:val="yellow"/>
        </w:rPr>
        <w:t xml:space="preserve"> the </w:t>
      </w:r>
      <w:r w:rsidR="00DF6D86" w:rsidRPr="00591CB7">
        <w:rPr>
          <w:bCs/>
          <w:highlight w:val="yellow"/>
        </w:rPr>
        <w:t>effects of changing import on the EoC compared to importing uniformly from different countries.</w:t>
      </w:r>
      <w:r w:rsidR="004D51C3" w:rsidRPr="00591CB7">
        <w:rPr>
          <w:bCs/>
          <w:highlight w:val="yellow"/>
        </w:rPr>
        <w:t xml:space="preserve"> – maybe put into supplementary material</w:t>
      </w:r>
      <w:r w:rsidR="004D51C3" w:rsidRPr="00591CB7">
        <w:rPr>
          <w:bCs/>
        </w:rPr>
        <w:t xml:space="preserve"> </w:t>
      </w:r>
      <w:r w:rsidR="00DF6D86" w:rsidRPr="00591CB7">
        <w:rPr>
          <w:bCs/>
        </w:rPr>
        <w:t xml:space="preserve"> </w:t>
      </w:r>
    </w:p>
    <w:p w14:paraId="2B182226" w14:textId="2ADFFAB6" w:rsidR="00166E35" w:rsidRDefault="00166E35"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28FF0D80" w:rsidR="00101690" w:rsidRDefault="00101690" w:rsidP="00DF6D86">
      <w:pPr>
        <w:spacing w:after="0" w:line="360" w:lineRule="auto"/>
        <w:rPr>
          <w:b/>
          <w:u w:val="single"/>
        </w:rPr>
      </w:pPr>
    </w:p>
    <w:p w14:paraId="5BB5AF0E" w14:textId="640997D5" w:rsidR="00101690" w:rsidRDefault="00101690" w:rsidP="00DF6D86">
      <w:pPr>
        <w:spacing w:after="0" w:line="360" w:lineRule="auto"/>
        <w:rPr>
          <w:b/>
          <w:u w:val="single"/>
        </w:rPr>
      </w:pPr>
    </w:p>
    <w:p w14:paraId="5F12A7DC" w14:textId="69BE88D2" w:rsidR="00101690" w:rsidRDefault="00101690" w:rsidP="00DF6D86">
      <w:pPr>
        <w:spacing w:after="0" w:line="360" w:lineRule="auto"/>
        <w:rPr>
          <w:b/>
          <w:u w:val="single"/>
        </w:rPr>
      </w:pPr>
    </w:p>
    <w:p w14:paraId="4D93E1B1" w14:textId="3D461160" w:rsidR="00101690" w:rsidRDefault="00101690" w:rsidP="00DF6D86">
      <w:pPr>
        <w:spacing w:after="0" w:line="360" w:lineRule="auto"/>
        <w:rPr>
          <w:b/>
          <w:u w:val="single"/>
        </w:rPr>
      </w:pPr>
    </w:p>
    <w:p w14:paraId="4415740E" w14:textId="0612114F" w:rsidR="00101690" w:rsidRDefault="00101690" w:rsidP="00DF6D86">
      <w:pPr>
        <w:spacing w:after="0" w:line="360" w:lineRule="auto"/>
        <w:rPr>
          <w:b/>
          <w:u w:val="single"/>
        </w:rPr>
      </w:pPr>
    </w:p>
    <w:p w14:paraId="3D5DA148" w14:textId="2CDD812D" w:rsidR="004970E9" w:rsidRDefault="004970E9" w:rsidP="004970E9">
      <w:pPr>
        <w:spacing w:after="0" w:line="360" w:lineRule="auto"/>
        <w:jc w:val="center"/>
        <w:rPr>
          <w:b/>
          <w:u w:val="single"/>
        </w:rPr>
      </w:pPr>
      <w:r>
        <w:rPr>
          <w:b/>
          <w:u w:val="single"/>
        </w:rPr>
        <w:t>DISCUSSION</w:t>
      </w:r>
    </w:p>
    <w:p w14:paraId="48B16800" w14:textId="58EF9ADF" w:rsidR="00196DC0" w:rsidRDefault="00196DC0" w:rsidP="004970E9">
      <w:pPr>
        <w:spacing w:after="0" w:line="360" w:lineRule="auto"/>
        <w:jc w:val="center"/>
        <w:rPr>
          <w:b/>
          <w:u w:val="single"/>
        </w:rPr>
      </w:pPr>
    </w:p>
    <w:p w14:paraId="7B1532CD" w14:textId="0D58B081" w:rsidR="00196DC0" w:rsidRDefault="00196DC0" w:rsidP="00196DC0">
      <w:pPr>
        <w:spacing w:after="0" w:line="360" w:lineRule="auto"/>
        <w:rPr>
          <w:bCs/>
        </w:rPr>
      </w:pPr>
      <w:r>
        <w:rPr>
          <w:bCs/>
        </w:rPr>
        <w:t>Recap the model results</w:t>
      </w:r>
    </w:p>
    <w:p w14:paraId="1E77EADB" w14:textId="75C6C8C6" w:rsidR="00196DC0" w:rsidRDefault="00196DC0" w:rsidP="00196DC0">
      <w:pPr>
        <w:pStyle w:val="ListParagraph"/>
        <w:numPr>
          <w:ilvl w:val="0"/>
          <w:numId w:val="8"/>
        </w:numPr>
        <w:spacing w:after="0" w:line="360" w:lineRule="auto"/>
        <w:rPr>
          <w:bCs/>
        </w:rPr>
      </w:pPr>
      <w:r>
        <w:rPr>
          <w:bCs/>
        </w:rPr>
        <w:t xml:space="preserve">We can fit both models to data </w:t>
      </w:r>
    </w:p>
    <w:p w14:paraId="66115867" w14:textId="5E6D3C0B" w:rsidR="00196DC0" w:rsidRDefault="00196DC0" w:rsidP="00196DC0">
      <w:pPr>
        <w:pStyle w:val="ListParagraph"/>
        <w:numPr>
          <w:ilvl w:val="0"/>
          <w:numId w:val="8"/>
        </w:numPr>
        <w:spacing w:after="0" w:line="360" w:lineRule="auto"/>
        <w:rPr>
          <w:bCs/>
        </w:rPr>
      </w:pPr>
      <w:r>
        <w:rPr>
          <w:bCs/>
        </w:rPr>
        <w:t xml:space="preserve">We show that import parameters are important – specifically parameters which promote the attributable </w:t>
      </w:r>
      <w:proofErr w:type="spellStart"/>
      <w:r>
        <w:rPr>
          <w:bCs/>
        </w:rPr>
        <w:t>fbd</w:t>
      </w:r>
      <w:proofErr w:type="spellEnd"/>
      <w:r>
        <w:rPr>
          <w:bCs/>
        </w:rPr>
        <w:t xml:space="preserve"> and resistance in human to imported sources reduce the efficacy of curtailment – because local interventions affect less of the human resistance </w:t>
      </w:r>
    </w:p>
    <w:p w14:paraId="1FA5537B" w14:textId="2899614B" w:rsidR="00196DC0" w:rsidRDefault="00196DC0" w:rsidP="00196DC0">
      <w:pPr>
        <w:pStyle w:val="ListParagraph"/>
        <w:numPr>
          <w:ilvl w:val="0"/>
          <w:numId w:val="8"/>
        </w:numPr>
        <w:spacing w:after="0" w:line="360" w:lineRule="auto"/>
        <w:rPr>
          <w:bCs/>
        </w:rPr>
      </w:pPr>
      <w:r>
        <w:rPr>
          <w:bCs/>
        </w:rPr>
        <w:t xml:space="preserve">Changing the average level of contamination and resistance will chance the relationship on the efficacy of curtailment when we increase import </w:t>
      </w:r>
    </w:p>
    <w:p w14:paraId="1F363F7B" w14:textId="5CA8373B" w:rsidR="000D242E" w:rsidRDefault="000D242E" w:rsidP="00196DC0">
      <w:pPr>
        <w:pStyle w:val="ListParagraph"/>
        <w:numPr>
          <w:ilvl w:val="0"/>
          <w:numId w:val="8"/>
        </w:numPr>
        <w:spacing w:after="0" w:line="360" w:lineRule="auto"/>
        <w:rPr>
          <w:bCs/>
        </w:rPr>
      </w:pPr>
      <w:r>
        <w:rPr>
          <w:bCs/>
        </w:rPr>
        <w:t xml:space="preserve">However, </w:t>
      </w:r>
      <w:proofErr w:type="spellStart"/>
      <w:r>
        <w:rPr>
          <w:bCs/>
        </w:rPr>
        <w:t>hchanbging</w:t>
      </w:r>
      <w:proofErr w:type="spellEnd"/>
      <w:r>
        <w:rPr>
          <w:bCs/>
        </w:rPr>
        <w:t xml:space="preserve"> the extent of heterogeneity doesn’t really have an effect 0on the relationship – just makes you more uncertain with the effect of your intervention </w:t>
      </w:r>
    </w:p>
    <w:p w14:paraId="3C5BA801" w14:textId="6D7EF246" w:rsidR="000D242E" w:rsidRDefault="000D242E" w:rsidP="000D242E">
      <w:pPr>
        <w:spacing w:after="0" w:line="360" w:lineRule="auto"/>
        <w:rPr>
          <w:bCs/>
        </w:rPr>
      </w:pPr>
    </w:p>
    <w:p w14:paraId="3A216888" w14:textId="16EA88C6" w:rsidR="000D242E" w:rsidRDefault="000D242E" w:rsidP="000D242E">
      <w:pPr>
        <w:spacing w:after="0" w:line="360" w:lineRule="auto"/>
        <w:rPr>
          <w:bCs/>
        </w:rPr>
      </w:pPr>
      <w:r>
        <w:rPr>
          <w:bCs/>
        </w:rPr>
        <w:t xml:space="preserve">Talk about import </w:t>
      </w:r>
      <w:r w:rsidR="00A820CF">
        <w:rPr>
          <w:bCs/>
        </w:rPr>
        <w:t xml:space="preserve">and how it affects out results – but place in the </w:t>
      </w:r>
      <w:proofErr w:type="spellStart"/>
      <w:r w:rsidR="00A820CF">
        <w:rPr>
          <w:bCs/>
        </w:rPr>
        <w:t>releance</w:t>
      </w:r>
      <w:proofErr w:type="spellEnd"/>
      <w:r w:rsidR="00A820CF">
        <w:rPr>
          <w:bCs/>
        </w:rPr>
        <w:t xml:space="preserve"> of other studies in AMR which show something similar </w:t>
      </w:r>
      <w:r w:rsidR="00D51170">
        <w:rPr>
          <w:bCs/>
        </w:rPr>
        <w:t xml:space="preserve">– how robust are out study results </w:t>
      </w:r>
    </w:p>
    <w:p w14:paraId="281C2BA4" w14:textId="6CE93E93" w:rsidR="000D242E" w:rsidRDefault="000D242E" w:rsidP="000D242E">
      <w:pPr>
        <w:pStyle w:val="ListParagraph"/>
        <w:numPr>
          <w:ilvl w:val="0"/>
          <w:numId w:val="16"/>
        </w:numPr>
        <w:spacing w:after="0" w:line="360" w:lineRule="auto"/>
        <w:rPr>
          <w:bCs/>
        </w:rPr>
      </w:pPr>
      <w:r>
        <w:rPr>
          <w:bCs/>
        </w:rPr>
        <w:t xml:space="preserve">Our key result is that import is important – or to put it more generally having a continous source of any infectious pressure for any infectious disease will offset the dynamics you see in your local patch – this is seen with other studies like the </w:t>
      </w:r>
      <w:proofErr w:type="spellStart"/>
      <w:r>
        <w:rPr>
          <w:bCs/>
        </w:rPr>
        <w:t>lipsitch</w:t>
      </w:r>
      <w:proofErr w:type="spellEnd"/>
      <w:r>
        <w:rPr>
          <w:bCs/>
        </w:rPr>
        <w:t xml:space="preserve"> et al study </w:t>
      </w:r>
    </w:p>
    <w:p w14:paraId="4B1288CF" w14:textId="192B5793" w:rsidR="000D242E" w:rsidRDefault="000D242E" w:rsidP="000D242E">
      <w:pPr>
        <w:pStyle w:val="ListParagraph"/>
        <w:numPr>
          <w:ilvl w:val="0"/>
          <w:numId w:val="16"/>
        </w:numPr>
        <w:spacing w:after="0" w:line="360" w:lineRule="auto"/>
        <w:rPr>
          <w:bCs/>
        </w:rPr>
      </w:pPr>
      <w:r>
        <w:rPr>
          <w:bCs/>
        </w:rPr>
        <w:t xml:space="preserve">However, what is interesting about this study is that we know quantify this </w:t>
      </w:r>
      <w:proofErr w:type="spellStart"/>
      <w:r>
        <w:rPr>
          <w:bCs/>
        </w:rPr>
        <w:t>intuitiuve</w:t>
      </w:r>
      <w:proofErr w:type="spellEnd"/>
      <w:r>
        <w:rPr>
          <w:bCs/>
        </w:rPr>
        <w:t xml:space="preserve"> result in the context of AMR </w:t>
      </w:r>
    </w:p>
    <w:p w14:paraId="2ECB6FA8" w14:textId="0EEA2FBB" w:rsidR="000D242E" w:rsidRDefault="000D242E" w:rsidP="000D242E">
      <w:pPr>
        <w:spacing w:after="0" w:line="360" w:lineRule="auto"/>
        <w:rPr>
          <w:bCs/>
        </w:rPr>
      </w:pPr>
    </w:p>
    <w:p w14:paraId="4935DDB8" w14:textId="6E8792D1" w:rsidR="00C61527" w:rsidRPr="00C61527" w:rsidRDefault="00C61527" w:rsidP="00C61527">
      <w:pPr>
        <w:pStyle w:val="ListParagraph"/>
        <w:numPr>
          <w:ilvl w:val="0"/>
          <w:numId w:val="16"/>
        </w:numPr>
        <w:spacing w:after="0" w:line="360" w:lineRule="auto"/>
        <w:rPr>
          <w:bCs/>
        </w:rPr>
      </w:pPr>
      <w:proofErr w:type="spellStart"/>
      <w:proofErr w:type="gramStart"/>
      <w:r>
        <w:rPr>
          <w:bCs/>
        </w:rPr>
        <w:t>Somehwere</w:t>
      </w:r>
      <w:proofErr w:type="spellEnd"/>
      <w:proofErr w:type="gramEnd"/>
      <w:r>
        <w:rPr>
          <w:bCs/>
        </w:rPr>
        <w:t xml:space="preserve"> I need to mention </w:t>
      </w:r>
      <w:proofErr w:type="spellStart"/>
      <w:r>
        <w:rPr>
          <w:bCs/>
        </w:rPr>
        <w:t>th</w:t>
      </w:r>
      <w:proofErr w:type="spellEnd"/>
      <w:r>
        <w:rPr>
          <w:bCs/>
        </w:rPr>
        <w:t xml:space="preserve"> </w:t>
      </w:r>
      <w:proofErr w:type="spellStart"/>
      <w:r>
        <w:rPr>
          <w:bCs/>
        </w:rPr>
        <w:t>enon</w:t>
      </w:r>
      <w:proofErr w:type="spellEnd"/>
      <w:r>
        <w:rPr>
          <w:bCs/>
        </w:rPr>
        <w:t xml:space="preserve">-import parameters and why they affect the efficacy of curtailment – link it to one of the other bullet point </w:t>
      </w:r>
      <w:proofErr w:type="spellStart"/>
      <w:r>
        <w:rPr>
          <w:bCs/>
        </w:rPr>
        <w:t>subsesctions</w:t>
      </w:r>
      <w:proofErr w:type="spellEnd"/>
      <w:r>
        <w:rPr>
          <w:bCs/>
        </w:rPr>
        <w:t xml:space="preserve"> </w:t>
      </w:r>
    </w:p>
    <w:p w14:paraId="19DC1D10" w14:textId="77777777" w:rsidR="00C61527" w:rsidRDefault="00C61527" w:rsidP="000D242E">
      <w:pPr>
        <w:spacing w:after="0" w:line="360" w:lineRule="auto"/>
        <w:rPr>
          <w:bCs/>
        </w:rPr>
      </w:pPr>
    </w:p>
    <w:p w14:paraId="46AF0569" w14:textId="6911AE2E" w:rsidR="000D242E" w:rsidRDefault="000D242E" w:rsidP="000D242E">
      <w:pPr>
        <w:spacing w:after="0" w:line="360" w:lineRule="auto"/>
        <w:rPr>
          <w:bCs/>
        </w:rPr>
      </w:pPr>
      <w:r>
        <w:rPr>
          <w:bCs/>
        </w:rPr>
        <w:t>Talk about the saturation effect</w:t>
      </w:r>
    </w:p>
    <w:p w14:paraId="665416A4" w14:textId="27AEADCE" w:rsidR="000D242E" w:rsidRDefault="000D242E" w:rsidP="000D242E">
      <w:pPr>
        <w:pStyle w:val="ListParagraph"/>
        <w:numPr>
          <w:ilvl w:val="0"/>
          <w:numId w:val="17"/>
        </w:numPr>
        <w:spacing w:after="0" w:line="360" w:lineRule="auto"/>
        <w:rPr>
          <w:bCs/>
        </w:rPr>
      </w:pPr>
      <w:r>
        <w:rPr>
          <w:bCs/>
        </w:rPr>
        <w:t xml:space="preserve">Essentially talk </w:t>
      </w:r>
      <w:r w:rsidR="00A820CF">
        <w:rPr>
          <w:bCs/>
        </w:rPr>
        <w:t xml:space="preserve">about how this mechanic works and relate to real life phenomenom </w:t>
      </w:r>
    </w:p>
    <w:p w14:paraId="734E9040" w14:textId="4D1A43E9" w:rsidR="006565A9" w:rsidRDefault="006565A9" w:rsidP="000D242E">
      <w:pPr>
        <w:pStyle w:val="ListParagraph"/>
        <w:numPr>
          <w:ilvl w:val="0"/>
          <w:numId w:val="17"/>
        </w:numPr>
        <w:spacing w:after="0" w:line="360" w:lineRule="auto"/>
        <w:rPr>
          <w:bCs/>
        </w:rPr>
      </w:pPr>
      <w:r>
        <w:rPr>
          <w:bCs/>
        </w:rPr>
        <w:t xml:space="preserve">Maybe mention he </w:t>
      </w:r>
      <w:proofErr w:type="spellStart"/>
      <w:r>
        <w:rPr>
          <w:bCs/>
        </w:rPr>
        <w:t>logarthimuic</w:t>
      </w:r>
      <w:proofErr w:type="spellEnd"/>
      <w:r>
        <w:rPr>
          <w:bCs/>
        </w:rPr>
        <w:t xml:space="preserve"> vs exponential growth relationships between EoC and psi and why the tow different shapes are important </w:t>
      </w:r>
    </w:p>
    <w:p w14:paraId="03AC102C" w14:textId="001F0E93" w:rsidR="004D51C3" w:rsidRDefault="004D51C3" w:rsidP="000D242E">
      <w:pPr>
        <w:pStyle w:val="ListParagraph"/>
        <w:numPr>
          <w:ilvl w:val="0"/>
          <w:numId w:val="17"/>
        </w:numPr>
        <w:spacing w:after="0" w:line="360" w:lineRule="auto"/>
        <w:rPr>
          <w:bCs/>
        </w:rPr>
      </w:pPr>
      <w:proofErr w:type="spellStart"/>
      <w:r>
        <w:rPr>
          <w:bCs/>
        </w:rPr>
        <w:t>Mentiuon</w:t>
      </w:r>
      <w:proofErr w:type="spellEnd"/>
      <w:r>
        <w:rPr>
          <w:bCs/>
        </w:rPr>
        <w:t xml:space="preserve"> how alterations to eta parameter fits into this </w:t>
      </w:r>
    </w:p>
    <w:p w14:paraId="2A8F44B9" w14:textId="7F48FF5E" w:rsidR="00A820CF" w:rsidRDefault="00A820CF" w:rsidP="00A820CF">
      <w:pPr>
        <w:spacing w:after="0" w:line="360" w:lineRule="auto"/>
        <w:rPr>
          <w:bCs/>
        </w:rPr>
      </w:pPr>
    </w:p>
    <w:p w14:paraId="2E79BE99" w14:textId="52CFE5C8" w:rsidR="00A820CF" w:rsidRDefault="00A820CF" w:rsidP="00A820CF">
      <w:pPr>
        <w:spacing w:after="0" w:line="360" w:lineRule="auto"/>
        <w:rPr>
          <w:bCs/>
        </w:rPr>
      </w:pPr>
      <w:r>
        <w:rPr>
          <w:bCs/>
        </w:rPr>
        <w:t xml:space="preserve">Talk about the lack of the effect of heterogeneity </w:t>
      </w:r>
    </w:p>
    <w:p w14:paraId="0CAF1E40" w14:textId="65A75479" w:rsidR="00A820CF" w:rsidRDefault="00A820CF" w:rsidP="00A820CF">
      <w:pPr>
        <w:pStyle w:val="ListParagraph"/>
        <w:numPr>
          <w:ilvl w:val="0"/>
          <w:numId w:val="17"/>
        </w:numPr>
        <w:spacing w:after="0" w:line="360" w:lineRule="auto"/>
        <w:rPr>
          <w:bCs/>
        </w:rPr>
      </w:pPr>
      <w:r>
        <w:rPr>
          <w:bCs/>
        </w:rPr>
        <w:t xml:space="preserve">The relative share of countries doesn’t really matter that much </w:t>
      </w:r>
    </w:p>
    <w:p w14:paraId="5F6095F9" w14:textId="66CC04F1" w:rsidR="00A820CF" w:rsidRDefault="00A820CF" w:rsidP="00A820CF">
      <w:pPr>
        <w:pStyle w:val="ListParagraph"/>
        <w:numPr>
          <w:ilvl w:val="0"/>
          <w:numId w:val="17"/>
        </w:numPr>
        <w:spacing w:after="0" w:line="360" w:lineRule="auto"/>
        <w:rPr>
          <w:bCs/>
        </w:rPr>
      </w:pPr>
      <w:r>
        <w:rPr>
          <w:bCs/>
        </w:rPr>
        <w:t xml:space="preserve">Why is this the case </w:t>
      </w:r>
    </w:p>
    <w:p w14:paraId="3BE688D6" w14:textId="2BDF2F4F" w:rsidR="00A820CF" w:rsidRDefault="00A820CF" w:rsidP="00A820CF">
      <w:pPr>
        <w:pStyle w:val="ListParagraph"/>
        <w:numPr>
          <w:ilvl w:val="0"/>
          <w:numId w:val="17"/>
        </w:numPr>
        <w:spacing w:after="0" w:line="360" w:lineRule="auto"/>
        <w:rPr>
          <w:bCs/>
        </w:rPr>
      </w:pPr>
      <w:r>
        <w:rPr>
          <w:bCs/>
        </w:rPr>
        <w:t xml:space="preserve">Maybe need to relate to mathemtical phenomenom </w:t>
      </w:r>
    </w:p>
    <w:p w14:paraId="2C26A678" w14:textId="7DBB04CA" w:rsidR="00A820CF" w:rsidRDefault="00A820CF" w:rsidP="00A820CF">
      <w:pPr>
        <w:spacing w:after="0" w:line="360" w:lineRule="auto"/>
        <w:rPr>
          <w:bCs/>
        </w:rPr>
      </w:pPr>
    </w:p>
    <w:p w14:paraId="0AB3B7A4" w14:textId="123187AC" w:rsidR="00A820CF" w:rsidRDefault="00D51170" w:rsidP="00A820CF">
      <w:pPr>
        <w:spacing w:after="0" w:line="360" w:lineRule="auto"/>
        <w:rPr>
          <w:bCs/>
        </w:rPr>
      </w:pPr>
      <w:r>
        <w:rPr>
          <w:bCs/>
        </w:rPr>
        <w:t xml:space="preserve">Talk about the public health implications of the results </w:t>
      </w:r>
    </w:p>
    <w:p w14:paraId="112E8231" w14:textId="1C5438B8" w:rsidR="00D51170" w:rsidRDefault="00D51170" w:rsidP="00D51170">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67B59A30" w:rsidR="00D51170" w:rsidRDefault="00D51170" w:rsidP="00D51170">
      <w:pPr>
        <w:spacing w:after="0" w:line="360" w:lineRule="auto"/>
        <w:rPr>
          <w:bCs/>
        </w:rPr>
      </w:pPr>
    </w:p>
    <w:p w14:paraId="3CE903DF" w14:textId="5DC64BB9" w:rsidR="00D51170" w:rsidRDefault="00D51170" w:rsidP="00D51170">
      <w:pPr>
        <w:spacing w:after="0" w:line="360" w:lineRule="auto"/>
        <w:rPr>
          <w:bCs/>
        </w:rPr>
      </w:pPr>
      <w:r>
        <w:rPr>
          <w:bCs/>
        </w:rPr>
        <w:t>Why we used the</w:t>
      </w:r>
      <w:r w:rsidR="006565A9">
        <w:rPr>
          <w:bCs/>
        </w:rPr>
        <w:t xml:space="preserve"> case </w:t>
      </w:r>
      <w:proofErr w:type="spellStart"/>
      <w:r w:rsidR="006565A9">
        <w:rPr>
          <w:bCs/>
        </w:rPr>
        <w:t>stuidy</w:t>
      </w:r>
      <w:proofErr w:type="spellEnd"/>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proofErr w:type="gramStart"/>
      <w:r>
        <w:rPr>
          <w:bCs/>
        </w:rPr>
        <w:t>resistabnce</w:t>
      </w:r>
      <w:proofErr w:type="spellEnd"/>
      <w:proofErr w:type="gramEnd"/>
    </w:p>
    <w:p w14:paraId="2B2C65A7" w14:textId="2EF2ECC8"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w:t>
      </w:r>
      <w:proofErr w:type="gramStart"/>
      <w:r>
        <w:rPr>
          <w:bCs/>
        </w:rPr>
        <w:t>species</w:t>
      </w:r>
      <w:proofErr w:type="gramEnd"/>
      <w:r>
        <w:rPr>
          <w:bCs/>
        </w:rPr>
        <w:t xml:space="preserve"> </w:t>
      </w:r>
    </w:p>
    <w:p w14:paraId="303AD6AE" w14:textId="3F2F26A4" w:rsidR="006565A9" w:rsidRPr="006565A9" w:rsidRDefault="006565A9" w:rsidP="006565A9">
      <w:pPr>
        <w:pStyle w:val="ListParagraph"/>
        <w:numPr>
          <w:ilvl w:val="0"/>
          <w:numId w:val="18"/>
        </w:numPr>
        <w:spacing w:after="0" w:line="360" w:lineRule="auto"/>
        <w:rPr>
          <w:bCs/>
        </w:rPr>
      </w:pPr>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w:t>
      </w:r>
      <w:proofErr w:type="gramStart"/>
      <w:r w:rsidR="00C61527">
        <w:rPr>
          <w:bCs/>
        </w:rPr>
        <w:t>decreases</w:t>
      </w:r>
      <w:proofErr w:type="gramEnd"/>
      <w:r w:rsidR="00C61527">
        <w:rPr>
          <w:bCs/>
        </w:rPr>
        <w:t xml:space="preserve">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 </w:t>
      </w:r>
    </w:p>
    <w:p w14:paraId="6EEE3AFF" w14:textId="77777777" w:rsidR="00D51170" w:rsidRDefault="00D51170" w:rsidP="00D51170">
      <w:pPr>
        <w:spacing w:after="0" w:line="360" w:lineRule="auto"/>
        <w:rPr>
          <w:bCs/>
        </w:rPr>
      </w:pPr>
    </w:p>
    <w:p w14:paraId="1DEF73D5" w14:textId="3E8DC695" w:rsidR="00D51170" w:rsidRDefault="00D51170" w:rsidP="00D51170">
      <w:pPr>
        <w:spacing w:after="0" w:line="360" w:lineRule="auto"/>
        <w:rPr>
          <w:bCs/>
        </w:rPr>
      </w:pPr>
      <w:r>
        <w:rPr>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proofErr w:type="gramStart"/>
      <w:r>
        <w:rPr>
          <w:bCs/>
        </w:rPr>
        <w:t>cant</w:t>
      </w:r>
      <w:proofErr w:type="spellEnd"/>
      <w:proofErr w:type="gram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t xml:space="preserve">Definitely </w:t>
      </w:r>
      <w:r w:rsidR="006565A9">
        <w:rPr>
          <w:bCs/>
        </w:rPr>
        <w:t xml:space="preserve">need to talk about how there’s a balance between the four outcome measures and the overall relationship between usage and resistance – </w:t>
      </w:r>
      <w:proofErr w:type="gramStart"/>
      <w:r w:rsidR="006565A9">
        <w:rPr>
          <w:bCs/>
        </w:rPr>
        <w:t>maybe  another</w:t>
      </w:r>
      <w:proofErr w:type="gramEnd"/>
      <w:r w:rsidR="006565A9">
        <w:rPr>
          <w:bCs/>
        </w:rPr>
        <w:t xml:space="preserve">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9E4902E"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50539F0C" w14:textId="2E7BA208" w:rsidR="003F0E81" w:rsidRDefault="003F0E81" w:rsidP="003F0E81">
      <w:pPr>
        <w:spacing w:after="0" w:line="360" w:lineRule="auto"/>
        <w:rPr>
          <w:bCs/>
        </w:rPr>
      </w:pPr>
    </w:p>
    <w:p w14:paraId="5803E41F" w14:textId="6409F522" w:rsidR="003F0E81" w:rsidRPr="003F0E81" w:rsidRDefault="003F0E81" w:rsidP="003F0E81">
      <w:pPr>
        <w:spacing w:after="0" w:line="360" w:lineRule="auto"/>
        <w:rPr>
          <w:bCs/>
        </w:rPr>
      </w:pPr>
      <w:r>
        <w:rPr>
          <w:bCs/>
        </w:rPr>
        <w:t xml:space="preserve">Overall Conclusion Paragraph </w:t>
      </w:r>
    </w:p>
    <w:sectPr w:rsidR="003F0E81" w:rsidRPr="003F0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443CE0"/>
    <w:multiLevelType w:val="hybridMultilevel"/>
    <w:tmpl w:val="F7923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1"/>
  </w:num>
  <w:num w:numId="4">
    <w:abstractNumId w:val="0"/>
  </w:num>
  <w:num w:numId="5">
    <w:abstractNumId w:val="2"/>
  </w:num>
  <w:num w:numId="6">
    <w:abstractNumId w:val="10"/>
  </w:num>
  <w:num w:numId="7">
    <w:abstractNumId w:val="14"/>
  </w:num>
  <w:num w:numId="8">
    <w:abstractNumId w:val="1"/>
  </w:num>
  <w:num w:numId="9">
    <w:abstractNumId w:val="16"/>
  </w:num>
  <w:num w:numId="10">
    <w:abstractNumId w:val="15"/>
  </w:num>
  <w:num w:numId="11">
    <w:abstractNumId w:val="4"/>
  </w:num>
  <w:num w:numId="12">
    <w:abstractNumId w:val="17"/>
  </w:num>
  <w:num w:numId="13">
    <w:abstractNumId w:val="7"/>
  </w:num>
  <w:num w:numId="14">
    <w:abstractNumId w:val="12"/>
  </w:num>
  <w:num w:numId="15">
    <w:abstractNumId w:val="8"/>
  </w:num>
  <w:num w:numId="16">
    <w:abstractNumId w:val="9"/>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36FCA"/>
    <w:rsid w:val="000411C1"/>
    <w:rsid w:val="00041E63"/>
    <w:rsid w:val="000522E9"/>
    <w:rsid w:val="00063740"/>
    <w:rsid w:val="000702C0"/>
    <w:rsid w:val="00074D74"/>
    <w:rsid w:val="00082805"/>
    <w:rsid w:val="00091ADD"/>
    <w:rsid w:val="000A7BF3"/>
    <w:rsid w:val="000B2FD4"/>
    <w:rsid w:val="000B375D"/>
    <w:rsid w:val="000B4EEC"/>
    <w:rsid w:val="000D242E"/>
    <w:rsid w:val="000D3AFD"/>
    <w:rsid w:val="000E42C5"/>
    <w:rsid w:val="000F51EF"/>
    <w:rsid w:val="00101690"/>
    <w:rsid w:val="00116B65"/>
    <w:rsid w:val="00120369"/>
    <w:rsid w:val="00121691"/>
    <w:rsid w:val="00127AEE"/>
    <w:rsid w:val="00137BAF"/>
    <w:rsid w:val="00143D2E"/>
    <w:rsid w:val="00147253"/>
    <w:rsid w:val="001500B0"/>
    <w:rsid w:val="00153F9F"/>
    <w:rsid w:val="00164733"/>
    <w:rsid w:val="00166E35"/>
    <w:rsid w:val="00174A59"/>
    <w:rsid w:val="00196DC0"/>
    <w:rsid w:val="00197217"/>
    <w:rsid w:val="001B2E3B"/>
    <w:rsid w:val="001B4A06"/>
    <w:rsid w:val="001B63B2"/>
    <w:rsid w:val="001D6A93"/>
    <w:rsid w:val="001D6D90"/>
    <w:rsid w:val="001E11D2"/>
    <w:rsid w:val="001E2F24"/>
    <w:rsid w:val="001E613E"/>
    <w:rsid w:val="0020760F"/>
    <w:rsid w:val="00207E9B"/>
    <w:rsid w:val="00212FD2"/>
    <w:rsid w:val="002245F7"/>
    <w:rsid w:val="0023487B"/>
    <w:rsid w:val="0024747D"/>
    <w:rsid w:val="00265C08"/>
    <w:rsid w:val="002724A8"/>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47297"/>
    <w:rsid w:val="00352A99"/>
    <w:rsid w:val="003565AC"/>
    <w:rsid w:val="00361723"/>
    <w:rsid w:val="00362891"/>
    <w:rsid w:val="003743BB"/>
    <w:rsid w:val="00392817"/>
    <w:rsid w:val="003D603C"/>
    <w:rsid w:val="003D652A"/>
    <w:rsid w:val="003E131F"/>
    <w:rsid w:val="003E26B6"/>
    <w:rsid w:val="003E4B0D"/>
    <w:rsid w:val="003F0E81"/>
    <w:rsid w:val="00402651"/>
    <w:rsid w:val="00405967"/>
    <w:rsid w:val="004175AA"/>
    <w:rsid w:val="00422EE7"/>
    <w:rsid w:val="004240B0"/>
    <w:rsid w:val="004322E0"/>
    <w:rsid w:val="0044039F"/>
    <w:rsid w:val="00452015"/>
    <w:rsid w:val="00455EA6"/>
    <w:rsid w:val="004726F7"/>
    <w:rsid w:val="0047606F"/>
    <w:rsid w:val="00493807"/>
    <w:rsid w:val="004970E9"/>
    <w:rsid w:val="004D51C3"/>
    <w:rsid w:val="004F38F0"/>
    <w:rsid w:val="00512AB7"/>
    <w:rsid w:val="00512B3D"/>
    <w:rsid w:val="00514CB2"/>
    <w:rsid w:val="00515EAF"/>
    <w:rsid w:val="0052021A"/>
    <w:rsid w:val="00533964"/>
    <w:rsid w:val="00542DE8"/>
    <w:rsid w:val="00546083"/>
    <w:rsid w:val="00556463"/>
    <w:rsid w:val="00556F70"/>
    <w:rsid w:val="00565A1F"/>
    <w:rsid w:val="00567E1A"/>
    <w:rsid w:val="00584474"/>
    <w:rsid w:val="00591CB7"/>
    <w:rsid w:val="005B2921"/>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40702"/>
    <w:rsid w:val="00641560"/>
    <w:rsid w:val="006565A9"/>
    <w:rsid w:val="00661912"/>
    <w:rsid w:val="00671B51"/>
    <w:rsid w:val="00675838"/>
    <w:rsid w:val="006B0158"/>
    <w:rsid w:val="006C1AC7"/>
    <w:rsid w:val="006D4052"/>
    <w:rsid w:val="006D77C4"/>
    <w:rsid w:val="006E05B4"/>
    <w:rsid w:val="006E3340"/>
    <w:rsid w:val="006E6D93"/>
    <w:rsid w:val="00700611"/>
    <w:rsid w:val="00732A5C"/>
    <w:rsid w:val="00737561"/>
    <w:rsid w:val="00740AFB"/>
    <w:rsid w:val="00741FA0"/>
    <w:rsid w:val="00743602"/>
    <w:rsid w:val="0074647E"/>
    <w:rsid w:val="0075714A"/>
    <w:rsid w:val="007735FA"/>
    <w:rsid w:val="00774866"/>
    <w:rsid w:val="00774B59"/>
    <w:rsid w:val="00782365"/>
    <w:rsid w:val="00782548"/>
    <w:rsid w:val="007A072D"/>
    <w:rsid w:val="007A662E"/>
    <w:rsid w:val="007B1874"/>
    <w:rsid w:val="007C508C"/>
    <w:rsid w:val="007D5E0A"/>
    <w:rsid w:val="007F22FE"/>
    <w:rsid w:val="0080627B"/>
    <w:rsid w:val="00830A1A"/>
    <w:rsid w:val="0085712B"/>
    <w:rsid w:val="008667E4"/>
    <w:rsid w:val="00873F0A"/>
    <w:rsid w:val="00874540"/>
    <w:rsid w:val="00891A95"/>
    <w:rsid w:val="0089365C"/>
    <w:rsid w:val="00895554"/>
    <w:rsid w:val="008D0624"/>
    <w:rsid w:val="008E0F23"/>
    <w:rsid w:val="008E233B"/>
    <w:rsid w:val="009013D4"/>
    <w:rsid w:val="00910B8F"/>
    <w:rsid w:val="00911098"/>
    <w:rsid w:val="00912E82"/>
    <w:rsid w:val="00917037"/>
    <w:rsid w:val="009175FE"/>
    <w:rsid w:val="0092736D"/>
    <w:rsid w:val="00931DE8"/>
    <w:rsid w:val="0094317D"/>
    <w:rsid w:val="0096154D"/>
    <w:rsid w:val="00966B48"/>
    <w:rsid w:val="00974F31"/>
    <w:rsid w:val="009A60A7"/>
    <w:rsid w:val="009B116D"/>
    <w:rsid w:val="009C0EC8"/>
    <w:rsid w:val="009E5758"/>
    <w:rsid w:val="009F2C64"/>
    <w:rsid w:val="00A01C2A"/>
    <w:rsid w:val="00A05E6D"/>
    <w:rsid w:val="00A0675E"/>
    <w:rsid w:val="00A150A1"/>
    <w:rsid w:val="00A1530D"/>
    <w:rsid w:val="00A2488B"/>
    <w:rsid w:val="00A27AC3"/>
    <w:rsid w:val="00A36FF8"/>
    <w:rsid w:val="00A42CCF"/>
    <w:rsid w:val="00A448C0"/>
    <w:rsid w:val="00A52CF4"/>
    <w:rsid w:val="00A53792"/>
    <w:rsid w:val="00A53CE8"/>
    <w:rsid w:val="00A54B52"/>
    <w:rsid w:val="00A8015B"/>
    <w:rsid w:val="00A820CF"/>
    <w:rsid w:val="00A871D8"/>
    <w:rsid w:val="00A87E71"/>
    <w:rsid w:val="00A92678"/>
    <w:rsid w:val="00A93145"/>
    <w:rsid w:val="00A962F1"/>
    <w:rsid w:val="00AA2A0B"/>
    <w:rsid w:val="00AA5EEA"/>
    <w:rsid w:val="00AE2D40"/>
    <w:rsid w:val="00AE3D60"/>
    <w:rsid w:val="00AE6C07"/>
    <w:rsid w:val="00AF5EC3"/>
    <w:rsid w:val="00B0060C"/>
    <w:rsid w:val="00B27278"/>
    <w:rsid w:val="00B3258C"/>
    <w:rsid w:val="00B3617C"/>
    <w:rsid w:val="00B43129"/>
    <w:rsid w:val="00B57D67"/>
    <w:rsid w:val="00B63CD3"/>
    <w:rsid w:val="00B65B4E"/>
    <w:rsid w:val="00B671B4"/>
    <w:rsid w:val="00B72358"/>
    <w:rsid w:val="00B828AF"/>
    <w:rsid w:val="00B83179"/>
    <w:rsid w:val="00B9302E"/>
    <w:rsid w:val="00B943BB"/>
    <w:rsid w:val="00BA13E1"/>
    <w:rsid w:val="00BA2D95"/>
    <w:rsid w:val="00BB467C"/>
    <w:rsid w:val="00BE10CE"/>
    <w:rsid w:val="00BE1A82"/>
    <w:rsid w:val="00BE510C"/>
    <w:rsid w:val="00BF08B6"/>
    <w:rsid w:val="00C02BA1"/>
    <w:rsid w:val="00C040CB"/>
    <w:rsid w:val="00C068C2"/>
    <w:rsid w:val="00C13DD4"/>
    <w:rsid w:val="00C20DFD"/>
    <w:rsid w:val="00C35661"/>
    <w:rsid w:val="00C36211"/>
    <w:rsid w:val="00C37C51"/>
    <w:rsid w:val="00C44636"/>
    <w:rsid w:val="00C4469A"/>
    <w:rsid w:val="00C61527"/>
    <w:rsid w:val="00C70288"/>
    <w:rsid w:val="00C7040B"/>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C7"/>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5D43"/>
    <w:rsid w:val="00EB3501"/>
    <w:rsid w:val="00EC1742"/>
    <w:rsid w:val="00ED355F"/>
    <w:rsid w:val="00EE6675"/>
    <w:rsid w:val="00EF0794"/>
    <w:rsid w:val="00EF70D1"/>
    <w:rsid w:val="00F149E5"/>
    <w:rsid w:val="00F172FF"/>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874AE-64CE-4997-BB57-DC7BF5DB7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15976</TotalTime>
  <Pages>25</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35</cp:revision>
  <dcterms:created xsi:type="dcterms:W3CDTF">2022-01-03T13:38:00Z</dcterms:created>
  <dcterms:modified xsi:type="dcterms:W3CDTF">2022-02-08T23:17:00Z</dcterms:modified>
</cp:coreProperties>
</file>