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3E15" w14:textId="552732C9" w:rsidR="004970E9" w:rsidRPr="000F7066" w:rsidRDefault="0063724F" w:rsidP="004970E9">
      <w:pPr>
        <w:rPr>
          <w:b/>
          <w:bCs/>
          <w:u w:val="single"/>
        </w:rPr>
      </w:pPr>
      <w:r>
        <w:rPr>
          <w:b/>
          <w:bCs/>
          <w:u w:val="single"/>
        </w:rPr>
        <w:t xml:space="preserve"> </w:t>
      </w:r>
      <w:r w:rsidR="004970E9"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The influence of imported food products wa</w:t>
      </w:r>
      <w:r w:rsidR="00556F70">
        <w:t>s modelled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was modelled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is defined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3F16E1FA" w:rsidR="00EB3501" w:rsidRDefault="00BA13E1" w:rsidP="00604C5B">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were modelled</w:t>
      </w:r>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7" w:history="1">
        <w:r w:rsidR="00EB3501">
          <w:rPr>
            <w:rStyle w:val="Hyperlink"/>
          </w:rPr>
          <w:t>Infection with Salmonella (cdc.gov)</w:t>
        </w:r>
      </w:hyperlink>
      <w:r w:rsidR="00EB3501">
        <w:rPr>
          <w:bCs/>
        </w:rPr>
        <w:t xml:space="preserve">). A </w:t>
      </w:r>
      <w:r w:rsidR="00604C5B">
        <w:rPr>
          <w:bCs/>
        </w:rPr>
        <w:t xml:space="preserve">relative scaling parameter was also used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can be found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5A3964BC" w:rsidR="00402651" w:rsidRPr="00E615CC" w:rsidRDefault="008D0624" w:rsidP="008D0624">
      <w:pPr>
        <w:spacing w:after="0" w:line="360" w:lineRule="auto"/>
        <w:jc w:val="both"/>
        <w:rPr>
          <w:rFonts w:cstheme="minorHAnsi"/>
          <w:bCs/>
        </w:rPr>
      </w:pPr>
      <w:r>
        <w:rPr>
          <w:bCs/>
        </w:rPr>
        <w:t xml:space="preserve">The relative proportion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was modelled as </w:t>
      </w:r>
      <w:r w:rsidR="00604C5B">
        <w:rPr>
          <w:rFonts w:cstheme="minorHAnsi"/>
          <w:bCs/>
        </w:rPr>
        <w:t>ψ,</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non-domestic sources. </w:t>
      </w:r>
      <w:r w:rsidR="00604C5B" w:rsidRPr="00E615CC">
        <w:rPr>
          <w:rFonts w:cstheme="minorHAnsi"/>
          <w:bCs/>
        </w:rPr>
        <w:t xml:space="preserve">References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1E9E9EE3" w14:textId="77777777"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lastRenderedPageBreak/>
        <w:t>Heterogenous Import Model</w:t>
      </w:r>
    </w:p>
    <w:p w14:paraId="3B3FE9D6" w14:textId="77777777" w:rsidR="00B43129" w:rsidRDefault="00B43129" w:rsidP="008D0624">
      <w:pPr>
        <w:spacing w:after="0" w:line="360" w:lineRule="auto"/>
        <w:rPr>
          <w:bCs/>
        </w:rPr>
      </w:pPr>
    </w:p>
    <w:p w14:paraId="3BECBA14" w14:textId="0B0A1660"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w:t>
      </w:r>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if we have 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ϵ</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r w:rsidR="00F172FF" w:rsidRPr="00A36FF8">
        <w:t xml:space="preserve">, …, </w:t>
      </w:r>
      <w:proofErr w:type="spellStart"/>
      <w:r w:rsidR="00F172FF" w:rsidRPr="00A36FF8">
        <w:rPr>
          <w:bCs/>
        </w:rPr>
        <w:t>Frac</w:t>
      </w:r>
      <w:r w:rsidR="00F172FF" w:rsidRPr="00A36FF8">
        <w:rPr>
          <w:bCs/>
          <w:vertAlign w:val="subscript"/>
        </w:rPr>
        <w:t>Imp</w:t>
      </w:r>
      <w:r w:rsidR="00542DE8" w:rsidRPr="00A36FF8">
        <w:rPr>
          <w:vertAlign w:val="subscript"/>
        </w:rPr>
        <w:t>n</w:t>
      </w:r>
      <w:proofErr w:type="spellEnd"/>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F172FF" w:rsidRPr="00A36FF8">
        <w:rPr>
          <w:rFonts w:cstheme="minorHAnsi"/>
        </w:rPr>
        <w:t>ϵ</w:t>
      </w:r>
      <w:r w:rsidR="00F172FF" w:rsidRPr="00A36FF8">
        <w:t xml:space="preserve"> [PropRes</w:t>
      </w:r>
      <w:r w:rsidR="00F172FF" w:rsidRPr="00A36FF8">
        <w:rPr>
          <w:vertAlign w:val="subscript"/>
        </w:rPr>
        <w:t>Imp1</w:t>
      </w:r>
      <w:r w:rsidR="00F172FF" w:rsidRPr="00A36FF8">
        <w:t xml:space="preserve">, …, </w:t>
      </w:r>
      <w:proofErr w:type="spellStart"/>
      <w:r w:rsidR="00F172FF" w:rsidRPr="00A36FF8">
        <w:t>PropRes</w:t>
      </w:r>
      <w:r w:rsidR="00F172FF" w:rsidRPr="00A36FF8">
        <w:rPr>
          <w:vertAlign w:val="subscript"/>
        </w:rPr>
        <w:t>Imp</w:t>
      </w:r>
      <w:r w:rsidR="00542DE8" w:rsidRPr="00A36FF8">
        <w:rPr>
          <w:vertAlign w:val="subscript"/>
        </w:rPr>
        <w:t>n</w:t>
      </w:r>
      <w:proofErr w:type="spellEnd"/>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can be found described in the supplementary material ().</w:t>
      </w:r>
    </w:p>
    <w:p w14:paraId="51F319AD" w14:textId="762CD3AB" w:rsidR="00F172FF" w:rsidRDefault="00F172FF" w:rsidP="000522E9">
      <w:pPr>
        <w:spacing w:after="0" w:line="360" w:lineRule="auto"/>
        <w:rPr>
          <w:bCs/>
        </w:rPr>
      </w:pPr>
    </w:p>
    <w:p w14:paraId="05B3EB7D" w14:textId="12721D13" w:rsidR="00F172FF" w:rsidRDefault="00F172FF" w:rsidP="009B116D">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ϵ</w:t>
      </w:r>
      <w:r w:rsidR="009B116D" w:rsidRPr="00A36FF8">
        <w:t xml:space="preserve"> [Share</w:t>
      </w:r>
      <w:r w:rsidR="00542DE8" w:rsidRPr="00A36FF8">
        <w:rPr>
          <w:vertAlign w:val="subscript"/>
        </w:rPr>
        <w:t>1</w:t>
      </w:r>
      <w:r w:rsidR="009B116D" w:rsidRPr="00A36FF8">
        <w:t>, …, Share</w:t>
      </w:r>
      <w:r w:rsidR="00542DE8" w:rsidRPr="00A36FF8">
        <w:rPr>
          <w:vertAlign w:val="subscript"/>
        </w:rPr>
        <w:t>n</w:t>
      </w:r>
      <w:r w:rsidR="009B116D" w:rsidRPr="00A36FF8">
        <w:t>]</w:t>
      </w:r>
      <w:r w:rsidRPr="00A36FF8">
        <w:rPr>
          <w:bCs/>
        </w:rPr>
        <w:t>.</w:t>
      </w:r>
      <w:r>
        <w:rPr>
          <w:bCs/>
        </w:rPr>
        <w:t xml:space="preserve"> </w:t>
      </w:r>
      <w:r w:rsidR="00A36FF8">
        <w:rPr>
          <w:bCs/>
        </w:rPr>
        <w:t xml:space="preserve">Note that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5C3769F6" w14:textId="06068C1D" w:rsidR="00631900" w:rsidRDefault="00631900" w:rsidP="00891A95">
      <w:pPr>
        <w:spacing w:after="0" w:line="360" w:lineRule="auto"/>
        <w:rPr>
          <w:b/>
          <w:bCs/>
          <w:u w:val="single"/>
        </w:rPr>
      </w:pPr>
    </w:p>
    <w:p w14:paraId="4439E2FE" w14:textId="7BC5F56C" w:rsidR="00661912" w:rsidRDefault="00661912" w:rsidP="00891A95">
      <w:pPr>
        <w:spacing w:after="0" w:line="360" w:lineRule="auto"/>
        <w:rPr>
          <w:b/>
          <w:bCs/>
          <w:u w:val="single"/>
        </w:rPr>
      </w:pPr>
    </w:p>
    <w:p w14:paraId="7465378D" w14:textId="6A111E39" w:rsidR="00661912" w:rsidRDefault="00661912" w:rsidP="00891A95">
      <w:pPr>
        <w:spacing w:after="0" w:line="360" w:lineRule="auto"/>
        <w:rPr>
          <w:b/>
          <w:bCs/>
          <w:u w:val="single"/>
        </w:rPr>
      </w:pPr>
    </w:p>
    <w:p w14:paraId="2DC1503E" w14:textId="6C3024B3" w:rsidR="00661912" w:rsidRDefault="00661912" w:rsidP="00891A95">
      <w:pPr>
        <w:spacing w:after="0" w:line="360" w:lineRule="auto"/>
        <w:rPr>
          <w:b/>
          <w:bCs/>
          <w:u w:val="single"/>
        </w:rPr>
      </w:pPr>
    </w:p>
    <w:p w14:paraId="0DFCE07D" w14:textId="77777777" w:rsidR="00661912" w:rsidRPr="00074D74" w:rsidRDefault="00661912"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lastRenderedPageBreak/>
        <w:t>Model Case Study</w:t>
      </w:r>
      <w:r w:rsidR="00074D74" w:rsidRPr="003D652A">
        <w:rPr>
          <w:b/>
          <w:bCs/>
          <w:u w:val="single"/>
        </w:rPr>
        <w:t xml:space="preserve"> </w:t>
      </w:r>
    </w:p>
    <w:p w14:paraId="15D207F8" w14:textId="77777777" w:rsidR="00074D74" w:rsidRPr="00074D74" w:rsidRDefault="00074D74" w:rsidP="00891A95">
      <w:pPr>
        <w:spacing w:after="0" w:line="360" w:lineRule="auto"/>
        <w:rPr>
          <w:b/>
          <w:bCs/>
          <w:u w:val="single"/>
        </w:rPr>
      </w:pPr>
    </w:p>
    <w:p w14:paraId="7C4E01F7" w14:textId="77777777" w:rsidR="00E615CC"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t>
      </w:r>
      <w:r w:rsidR="00A36FF8">
        <w:rPr>
          <w:bCs/>
        </w:rPr>
        <w:t>was</w:t>
      </w:r>
      <w:r w:rsidR="00895554">
        <w:rPr>
          <w:bCs/>
        </w:rPr>
        <w:t xml:space="preserve"> parameterised </w:t>
      </w:r>
      <w:proofErr w:type="gramStart"/>
      <w:r w:rsidR="00895554">
        <w:rPr>
          <w:bCs/>
        </w:rPr>
        <w:t>with regard to</w:t>
      </w:r>
      <w:proofErr w:type="gramEnd"/>
      <w:r w:rsidR="00895554">
        <w:rPr>
          <w:bCs/>
        </w:rPr>
        <w:t xml:space="preserve">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57AE4FB3" w:rsidR="00074D74" w:rsidRDefault="00895554" w:rsidP="00895554">
      <w:pPr>
        <w:spacing w:after="0" w:line="360" w:lineRule="auto"/>
        <w:jc w:val="both"/>
        <w:rPr>
          <w:bCs/>
        </w:rPr>
      </w:pPr>
      <w:r>
        <w:rPr>
          <w:bCs/>
        </w:rPr>
        <w:t xml:space="preserve">The bug/drug/livestock population of interest was modelled as ampicillin usage/resistance in fattening pigs. </w:t>
      </w:r>
      <w:r w:rsidR="00074D74">
        <w:rPr>
          <w:bCs/>
        </w:rPr>
        <w:t xml:space="preserve">This case study was chosen due to the </w:t>
      </w:r>
      <w:r w:rsidR="00074D74">
        <w:t>high level of usage (both historical and current) of ampicillin in fattening pigs, and the availabi</w:t>
      </w:r>
      <w:r>
        <w:t>lity of resistance data for this livestock species.</w:t>
      </w:r>
      <w:r w:rsidR="00A36FF8">
        <w:t xml:space="preserve"> We note that the model was not meant to imply that fattening pigs are the sole source of </w:t>
      </w:r>
      <w:r w:rsidR="00661912">
        <w:t>ampicillin</w:t>
      </w:r>
      <w:r w:rsidR="00A36FF8">
        <w:t xml:space="preserve">-resistant Salmonella to humans. Rather it was intended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0666BA06"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the proportion of contaminated food products that are antibiotic-resistant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reduction in</w:t>
      </w:r>
      <w:r w:rsidR="00074D74">
        <w:t xml:space="preserve"> the proportion of antibiotic-resistant human salmonellosis as the efficacy of curtailment (EoC)</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w:t>
      </w:r>
      <w:r w:rsidR="00661912">
        <w:rPr>
          <w:bCs/>
        </w:rPr>
        <w:t>as the domestic country of interest</w:t>
      </w:r>
      <w:r w:rsidR="00A448C0">
        <w:rPr>
          <w:bCs/>
        </w:rPr>
        <w:t xml:space="preserve">. This required the curation of three different datasets. </w:t>
      </w:r>
    </w:p>
    <w:p w14:paraId="76540E64" w14:textId="755B9D80" w:rsidR="003743BB" w:rsidRPr="003743BB" w:rsidRDefault="00661912" w:rsidP="0074647E">
      <w:pPr>
        <w:spacing w:after="0" w:line="360" w:lineRule="auto"/>
        <w:jc w:val="both"/>
        <w:rPr>
          <w:rFonts w:cstheme="minorHAnsi"/>
        </w:rPr>
      </w:pPr>
      <w:r>
        <w:rPr>
          <w:bCs/>
        </w:rPr>
        <w:lastRenderedPageBreak/>
        <w:t>The first dataset was a</w:t>
      </w:r>
      <w:r w:rsidR="00A05E6D">
        <w:rPr>
          <w:bCs/>
        </w:rPr>
        <w:t xml:space="preserve"> usage/resistance dataset</w:t>
      </w:r>
      <w:r>
        <w:rPr>
          <w:bCs/>
        </w:rPr>
        <w:t xml:space="preserve">, curated </w:t>
      </w:r>
      <w:r w:rsidR="00A0675E">
        <w:rPr>
          <w:bCs/>
        </w:rPr>
        <w:t xml:space="preserve">to parameterise the relationship between livestock ampicillin usage and the </w:t>
      </w:r>
      <w:r w:rsidR="00E615CC">
        <w:t>proportion of contaminated food products that are antibiotic-resistant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 xml:space="preserve">. </w:t>
      </w:r>
      <w:r w:rsidR="003743BB">
        <w:t xml:space="preserve">The proportion of </w:t>
      </w:r>
      <w:r w:rsidR="00E615CC">
        <w:t xml:space="preserve">ampicillin-resistant </w:t>
      </w:r>
      <w:r w:rsidR="003743BB">
        <w:t>isolates fattening pig</w:t>
      </w:r>
      <w:r w:rsidR="00E615CC">
        <w:t xml:space="preserve"> carcasses</w:t>
      </w:r>
      <w:r w:rsidR="003743BB">
        <w:t xml:space="preserve">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was obtained from European surveillance of veterinary consumption (ESVAC) reports.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r w:rsidR="003743BB" w:rsidRPr="0074647E">
        <w:rPr>
          <w:rFonts w:cstheme="minorHAnsi"/>
          <w:b/>
        </w:rPr>
        <w:t>can be found in the supplementary information for chapter 2</w:t>
      </w:r>
      <w:r w:rsidR="003743BB">
        <w:rPr>
          <w:rFonts w:cstheme="minorHAnsi"/>
        </w:rPr>
        <w:t xml:space="preserve">. Note that due to a lack of accurate country-level antibiotic usage data, sales were assumed to be a proxy for </w:t>
      </w:r>
      <w:r w:rsidR="00704F20">
        <w:rPr>
          <w:rFonts w:cstheme="minorHAnsi"/>
        </w:rPr>
        <w:t>usage.</w:t>
      </w:r>
    </w:p>
    <w:p w14:paraId="46A0190E" w14:textId="1915BE97" w:rsidR="00147253" w:rsidRDefault="00147253" w:rsidP="00891A95">
      <w:pPr>
        <w:spacing w:after="0" w:line="360" w:lineRule="auto"/>
        <w:rPr>
          <w:bCs/>
        </w:rPr>
      </w:pPr>
    </w:p>
    <w:p w14:paraId="3030094B" w14:textId="177539B1" w:rsidR="00CF200A" w:rsidRDefault="00E615CC" w:rsidP="00AE6C07">
      <w:pPr>
        <w:spacing w:after="0" w:line="360" w:lineRule="auto"/>
        <w:jc w:val="both"/>
        <w:rPr>
          <w:bCs/>
        </w:rPr>
      </w:pPr>
      <w:r>
        <w:rPr>
          <w:bCs/>
        </w:rPr>
        <w:t>The second d</w:t>
      </w:r>
      <w:r w:rsidR="00A05E6D">
        <w:rPr>
          <w:bCs/>
        </w:rPr>
        <w:t>ataset was curated</w:t>
      </w:r>
      <w:r w:rsidR="00C040CB">
        <w:rPr>
          <w:bCs/>
        </w:rPr>
        <w:t xml:space="preserve"> to </w:t>
      </w:r>
      <w:r w:rsidR="00137BAF">
        <w:rPr>
          <w:bCs/>
        </w:rPr>
        <w:t xml:space="preserve">import-relevant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 The EU was stratified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Details of these scaling calculations can be found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 </w:t>
      </w:r>
      <w:r w:rsidR="00FD123F">
        <w:rPr>
          <w:bCs/>
        </w:rPr>
        <w:t xml:space="preserve">Data on </w:t>
      </w:r>
      <w:r w:rsidR="00E9289F">
        <w:t>the proportion of isolates obtained from contaminated swine carcasses that are antibiotic-resistant</w:t>
      </w:r>
      <w:r w:rsidR="00FD123F">
        <w:rPr>
          <w:bCs/>
        </w:rPr>
        <w:t xml:space="preserve"> was obtained from E</w:t>
      </w:r>
      <w:r w:rsidR="000D3AFD">
        <w:rPr>
          <w:bCs/>
        </w:rPr>
        <w:t xml:space="preserve">FSA surveillance reports. </w:t>
      </w:r>
      <w:r w:rsidR="00E9289F">
        <w:rPr>
          <w:bCs/>
        </w:rPr>
        <w:t>This was used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521634B3"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sidR="00FD123F">
        <w:rPr>
          <w:rFonts w:cstheme="minorHAnsi"/>
        </w:rPr>
        <w:t xml:space="preserve"> for the UK (τ = 0.0009 g/PCU). </w:t>
      </w:r>
      <w:r w:rsidR="00CD5FAF">
        <w:rPr>
          <w:rFonts w:cstheme="minorHAnsi"/>
        </w:rPr>
        <w:t xml:space="preserve">The observed ECDC daily EU incidence of human salmonellosis was used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w:t>
      </w:r>
      <w:r w:rsidR="00A92678">
        <w:rPr>
          <w:bCs/>
        </w:rPr>
        <w:lastRenderedPageBreak/>
        <w:t xml:space="preserve">salmonellosis was obtained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was parameterised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one health surveillance reports</w:t>
      </w:r>
      <w:r>
        <w:rPr>
          <w:bCs/>
        </w:rPr>
        <w:t xml:space="preserve"> (0.0628)</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r w:rsidR="00121691" w:rsidRPr="00607D17">
        <w:rPr>
          <w:b/>
        </w:rPr>
        <w:t>can be found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8" w:history="1">
        <w:r>
          <w:rPr>
            <w:rStyle w:val="Hyperlink"/>
          </w:rPr>
          <w:t>Abattoir-based study of Salmonella prevalence in pigs at slaughter in Great Britain | Epidemiology &amp; Infection | Cambridge Core</w:t>
        </w:r>
      </w:hyperlink>
      <w:r>
        <w:rPr>
          <w:bCs/>
        </w:rPr>
        <w:t>). This 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0CC96DDD" w:rsidR="00CA488B" w:rsidRDefault="00607D17" w:rsidP="00D91FF6">
      <w:pPr>
        <w:spacing w:after="0" w:line="360" w:lineRule="auto"/>
        <w:jc w:val="both"/>
        <w:rPr>
          <w:rFonts w:cstheme="minorHAnsi"/>
        </w:rPr>
      </w:pPr>
      <w:r>
        <w:rPr>
          <w:rFonts w:cstheme="minorHAnsi"/>
        </w:rPr>
        <w:lastRenderedPageBreak/>
        <w:t>An</w:t>
      </w:r>
      <w:r w:rsidR="00D91FF6">
        <w:rPr>
          <w:rFonts w:cstheme="minorHAnsi"/>
        </w:rPr>
        <w:t xml:space="preserve"> ABC-SMC approach was used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marginal posterior </w:t>
      </w:r>
      <w:r w:rsidR="00D91FF6">
        <w:rPr>
          <w:rFonts w:cstheme="minorHAnsi"/>
        </w:rPr>
        <w:t>probability</w:t>
      </w:r>
      <w:r w:rsidR="00CA488B">
        <w:rPr>
          <w:rFonts w:cstheme="minorHAnsi"/>
        </w:rPr>
        <w:t xml:space="preserve"> distribution for six model parameters</w:t>
      </w:r>
      <w:r>
        <w:rPr>
          <w:rFonts w:cstheme="minorHAnsi"/>
        </w:rPr>
        <w:t xml:space="preserve"> (</w:t>
      </w:r>
      <w:proofErr w:type="spellStart"/>
      <w:r>
        <w:rPr>
          <w:rFonts w:cstheme="minorHAnsi"/>
        </w:rPr>
        <w:t>θ</w:t>
      </w:r>
      <w:r w:rsidR="00675838" w:rsidRPr="00675838">
        <w:rPr>
          <w:rFonts w:cstheme="minorHAnsi"/>
          <w:vertAlign w:val="subscript"/>
        </w:rPr>
        <w:t>HOM</w:t>
      </w:r>
      <w:proofErr w:type="spellEnd"/>
      <w:r>
        <w:rPr>
          <w:rFonts w:cstheme="minorHAnsi"/>
        </w:rPr>
        <w:t>)</w:t>
      </w:r>
      <w:r w:rsidR="00CA488B">
        <w:rPr>
          <w:rFonts w:cstheme="minorHAnsi"/>
        </w:rPr>
        <w:t xml:space="preserve"> given the data, </w:t>
      </w:r>
      <m:oMath>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w:t>
      </w:r>
      <w:r>
        <w:rPr>
          <w:rFonts w:eastAsiaTheme="minorEastAsia" w:cstheme="minorHAnsi"/>
        </w:rPr>
        <w:t xml:space="preserve"> The heterogenous import model </w:t>
      </w:r>
      <w:r w:rsidR="00D91FF6">
        <w:rPr>
          <w:rFonts w:eastAsiaTheme="minorEastAsia" w:cstheme="minorHAnsi"/>
        </w:rPr>
        <w:t xml:space="preserve">required the estimation of </w:t>
      </w:r>
      <w:r w:rsidR="00675838">
        <w:rPr>
          <w:rFonts w:cstheme="minorHAnsi"/>
        </w:rPr>
        <w:t>eight</w:t>
      </w:r>
      <w:r w:rsidR="00CA488B">
        <w:rPr>
          <w:rFonts w:cstheme="minorHAnsi"/>
        </w:rPr>
        <w:t xml:space="preserve"> model parameters</w:t>
      </w:r>
      <w:r w:rsidR="00675838">
        <w:rPr>
          <w:rFonts w:cstheme="minorHAnsi"/>
        </w:rPr>
        <w:t xml:space="preserve"> (</w:t>
      </w:r>
      <w:proofErr w:type="spellStart"/>
      <w:r w:rsidR="00675838">
        <w:rPr>
          <w:rFonts w:cstheme="minorHAnsi"/>
        </w:rPr>
        <w:t>θ</w:t>
      </w:r>
      <w:r w:rsidR="00675838" w:rsidRPr="00675838">
        <w:rPr>
          <w:rFonts w:cstheme="minorHAnsi"/>
          <w:vertAlign w:val="subscript"/>
        </w:rPr>
        <w:t>H</w:t>
      </w:r>
      <w:r w:rsidR="00675838">
        <w:rPr>
          <w:rFonts w:cstheme="minorHAnsi"/>
          <w:vertAlign w:val="subscript"/>
        </w:rPr>
        <w:t>ET</w:t>
      </w:r>
      <w:proofErr w:type="spellEnd"/>
      <w:r w:rsidR="00675838">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HET</m:t>
            </m:r>
          </m:sub>
        </m:sSub>
        <m:r>
          <w:rPr>
            <w:rFonts w:ascii="Cambria Math" w:hAnsi="Cambria Math" w:cstheme="minorHAnsi"/>
            <w:highlight w:val="yellow"/>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Pr>
          <w:rFonts w:cstheme="minorHAnsi"/>
        </w:rPr>
        <w:t>.</w:t>
      </w:r>
      <w:r w:rsidR="0024747D">
        <w:rPr>
          <w:rFonts w:cstheme="minorHAnsi"/>
        </w:rPr>
        <w:t xml:space="preserve"> Non-EU parameters were fitted due to the heterogeneity in the values across UK non-EU trading partners.</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can be found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r>
        <w:rPr>
          <w:rFonts w:cstheme="minorHAnsi"/>
        </w:rPr>
        <w:t xml:space="preserve">was </w:t>
      </w:r>
      <w:r w:rsidRPr="006F5EB4">
        <w:rPr>
          <w:rFonts w:cstheme="minorHAnsi"/>
        </w:rPr>
        <w:t>chosen for the ABC-SMC perturbation kernel</w:t>
      </w:r>
      <w:r>
        <w:rPr>
          <w:rFonts w:cstheme="minorHAnsi"/>
        </w:rPr>
        <w:t>. T</w:t>
      </w:r>
      <w:r w:rsidRPr="003C4859">
        <w:t>he randomly sampled mean and covar</w:t>
      </w:r>
      <w:r>
        <w:t>iance matrix was calculated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8</w:t>
      </w:r>
      <w:r w:rsidRPr="00985E19">
        <w:rPr>
          <w:rFonts w:eastAsiaTheme="minorEastAsia"/>
          <w:iCs/>
          <w:vertAlign w:val="superscript"/>
        </w:rPr>
        <w:t>th</w:t>
      </w:r>
      <w:r>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73512D1A"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import model was fitted to the UK case stud</w:t>
      </w:r>
      <w:r w:rsidR="0052021A">
        <w:rPr>
          <w:bCs/>
        </w:rPr>
        <w:t>y for ampicillin-resistance</w:t>
      </w:r>
      <w:r w:rsidR="00A1530D">
        <w:rPr>
          <w:bCs/>
        </w:rPr>
        <w:t>/usage</w:t>
      </w:r>
      <w:r w:rsidR="0052021A">
        <w:rPr>
          <w:bCs/>
        </w:rPr>
        <w:t xml:space="preserve"> in fattening pigs (</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can be found</w:t>
      </w:r>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were curtailed. This represents an efficacy of curtailment of </w:t>
      </w:r>
      <w:r w:rsidR="00C13DD4" w:rsidRPr="00732A5C">
        <w:rPr>
          <w:b/>
          <w:bCs/>
          <w:highlight w:val="yellow"/>
        </w:rPr>
        <w:t>X</w:t>
      </w:r>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82B0CF8" w:rsidR="005B2921" w:rsidRPr="00AB0124" w:rsidRDefault="00B72358" w:rsidP="00AB0124">
      <w:pPr>
        <w:spacing w:after="0" w:line="360" w:lineRule="auto"/>
        <w:jc w:val="both"/>
      </w:pPr>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(X -&gt; X 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w:t>
      </w:r>
      <w:r>
        <w:rPr>
          <w:bCs/>
        </w:rPr>
        <w:lastRenderedPageBreak/>
        <w:t>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 xml:space="preserve">. </w:t>
      </w:r>
      <w:r w:rsidR="00591CB7">
        <w:rPr>
          <w:bCs/>
        </w:rPr>
        <w:t>N</w:t>
      </w:r>
      <w:r>
        <w:rPr>
          <w:bCs/>
        </w:rPr>
        <w:t>ote that the</w:t>
      </w:r>
      <w:r>
        <w:t xml:space="preserve"> proportion of contaminated </w:t>
      </w:r>
      <w:r w:rsidR="00591CB7">
        <w:t>food products</w:t>
      </w:r>
      <w:r>
        <w:t xml:space="preserve"> that are antibiotic-resistant and the proportion of contaminated </w:t>
      </w:r>
      <w:r w:rsidR="00591CB7">
        <w:t>food products</w:t>
      </w:r>
      <w:r>
        <w:t xml:space="preserve"> was higher</w:t>
      </w:r>
      <w:r w:rsidR="00591CB7">
        <w:t xml:space="preserve"> in imported sources (</w:t>
      </w:r>
      <w:proofErr w:type="spellStart"/>
      <w:r w:rsidR="00591CB7">
        <w:t>Frac</w:t>
      </w:r>
      <w:r w:rsidR="00591CB7" w:rsidRPr="00591CB7">
        <w:rPr>
          <w:vertAlign w:val="subscript"/>
        </w:rPr>
        <w:t>Imp</w:t>
      </w:r>
      <w:proofErr w:type="spellEnd"/>
      <w:r w:rsidR="00591CB7">
        <w:t xml:space="preserve"> </w:t>
      </w:r>
      <w:proofErr w:type="gramStart"/>
      <w:r w:rsidR="00591CB7">
        <w:t>= ;</w:t>
      </w:r>
      <w:proofErr w:type="gramEnd"/>
      <w:r w:rsidR="00591CB7">
        <w:t xml:space="preserve"> </w:t>
      </w:r>
      <w:proofErr w:type="spellStart"/>
      <w:r w:rsidR="00591CB7">
        <w:t>PropRes</w:t>
      </w:r>
      <w:r w:rsidR="00591CB7" w:rsidRPr="00591CB7">
        <w:rPr>
          <w:vertAlign w:val="subscript"/>
        </w:rPr>
        <w:t>Imp</w:t>
      </w:r>
      <w:proofErr w:type="spellEnd"/>
      <w:r w:rsidR="00591CB7">
        <w:t xml:space="preserve"> = ) than in domestic sources </w:t>
      </w:r>
      <w:r>
        <w:t>(</w:t>
      </w:r>
      <w:r w:rsidR="00700611">
        <w:t>0.00; 0.04</w:t>
      </w:r>
      <w:r>
        <w:t>).</w:t>
      </w:r>
      <w:r w:rsidR="00F204E4">
        <w:t xml:space="preserve"> Fitting </w:t>
      </w:r>
      <w:r w:rsidR="00AB0124">
        <w:t>the model without importation</w:t>
      </w:r>
      <w:r w:rsidR="00F204E4">
        <w:t xml:space="preserve">, results in </w:t>
      </w:r>
      <w:r w:rsidR="00AB0124">
        <w:t xml:space="preserve">qualitative </w:t>
      </w:r>
      <w:r w:rsidR="00F204E4">
        <w:t>curtailment dynamics similar to the homogenous import model</w:t>
      </w:r>
      <w:r w:rsidR="00AB0124">
        <w:t xml:space="preserve"> </w:t>
      </w:r>
      <w:r w:rsidR="00AB0124" w:rsidRPr="007D5E0A">
        <w:rPr>
          <w:bCs/>
        </w:rPr>
        <w:t>(</w:t>
      </w:r>
      <w:r w:rsidR="00AB0124" w:rsidRPr="007D5E0A">
        <w:rPr>
          <w:b/>
          <w:bCs/>
          <w:highlight w:val="yellow"/>
        </w:rPr>
        <w:t>SUPPLEMENTARY</w:t>
      </w:r>
      <w:r w:rsidR="00AB0124" w:rsidRPr="007D5E0A">
        <w:rPr>
          <w:bCs/>
        </w:rPr>
        <w:t>)</w:t>
      </w:r>
      <w:r w:rsidR="00F204E4">
        <w:t xml:space="preserve">. However, note that due to the lack of import pressure, the efficacy of curtailment will be higher, with </w:t>
      </w:r>
      <w:r w:rsidR="00AB0124">
        <w:t xml:space="preserve">a less ampicillin-resistant human salmonellosis attributable to imports and therefore more controllable through domestic interventions.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7D887B23"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A42CCF">
        <w:rPr>
          <w:bCs/>
        </w:rPr>
        <w:t>)</w:t>
      </w:r>
      <w:r w:rsidR="00422EE7">
        <w:rPr>
          <w:bCs/>
        </w:rPr>
        <w:t>,</w:t>
      </w:r>
      <w:r w:rsidR="00F210D5">
        <w:rPr>
          <w:bCs/>
        </w:rPr>
        <w:t xml:space="preserve"> with these ranges observed in </w:t>
      </w:r>
      <w:r w:rsidR="00761340">
        <w:rPr>
          <w:bCs/>
        </w:rPr>
        <w:t>ECDC datasets (</w:t>
      </w:r>
      <w:r w:rsidR="00761340" w:rsidRPr="00761340">
        <w:rPr>
          <w:b/>
          <w:bCs/>
          <w:highlight w:val="yellow"/>
        </w:rPr>
        <w:t>cite</w:t>
      </w:r>
      <w:r w:rsidR="00761340">
        <w:rPr>
          <w:bCs/>
        </w:rPr>
        <w:t>)</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r w:rsidR="00911098">
        <w:rPr>
          <w:bCs/>
        </w:rPr>
        <w:t xml:space="preserve">0;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r w:rsidR="0085712B" w:rsidRPr="0085712B">
        <w:rPr>
          <w:bCs/>
          <w:highlight w:val="yellow"/>
        </w:rPr>
        <w:t>X</w:t>
      </w:r>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7E1519AD"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domestic livestock carcasses</w:t>
      </w:r>
      <w:r w:rsidR="00774B59">
        <w:rPr>
          <w:bCs/>
        </w:rPr>
        <w:t xml:space="preserve"> parameter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16721662" w:rsidR="008E0F23" w:rsidRDefault="00D42CDA" w:rsidP="006D4052">
      <w:pPr>
        <w:spacing w:after="0" w:line="360" w:lineRule="auto"/>
        <w:jc w:val="both"/>
        <w:rPr>
          <w:bCs/>
        </w:rPr>
      </w:pPr>
      <w:r>
        <w:rPr>
          <w:bCs/>
        </w:rPr>
        <w:t>An</w:t>
      </w:r>
      <w:r w:rsidR="001E613E">
        <w:rPr>
          <w:bCs/>
        </w:rPr>
        <w:t xml:space="preserve"> LHS-PRCC and eFAST sensitivity analysis was next conducted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Monotonicity plots were used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E7611D">
        <w:rPr>
          <w:bCs/>
        </w:rPr>
        <w:t xml:space="preserve">proportion of ampicillin-resistant contaminated imports </w:t>
      </w:r>
      <w:r w:rsidR="009C0EC8">
        <w:rPr>
          <w:bCs/>
        </w:rPr>
        <w:t xml:space="preserve">had a strong effect of reducing the efficacy of curtailment, with the extent of contamination on imported food products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is corroborated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can be considered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15DBD78F"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 xml:space="preserve">dynamics, we fit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was stratified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can be found</w:t>
      </w:r>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r w:rsidR="00AA2A0B" w:rsidRPr="000B01BB">
        <w:rPr>
          <w:rFonts w:cstheme="minorHAnsi"/>
          <w:bCs/>
        </w:rPr>
        <w:t>95%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623690D0" w14:textId="2229CDF3" w:rsidR="008D7BF7" w:rsidRDefault="00D360D4" w:rsidP="001B63B2">
      <w:pPr>
        <w:spacing w:after="0" w:line="360" w:lineRule="auto"/>
        <w:jc w:val="both"/>
        <w:rPr>
          <w:bCs/>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xml:space="preserve">) compared to the previously described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r w:rsidR="00DF31DA" w:rsidRPr="00DF31DA">
        <w:rPr>
          <w:bCs/>
          <w:highlight w:val="yellow"/>
        </w:rPr>
        <w:t>X%</w:t>
      </w:r>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r w:rsidR="00493807" w:rsidRPr="00036FCA">
        <w:rPr>
          <w:bCs/>
          <w:highlight w:val="yellow"/>
        </w:rPr>
        <w:t>X</w:t>
      </w:r>
      <w:r w:rsidR="00493807">
        <w:rPr>
          <w:bCs/>
        </w:rPr>
        <w:t>%</w:t>
      </w:r>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w:t>
      </w:r>
      <w:r w:rsidR="008D7BF7">
        <w:rPr>
          <w:bCs/>
        </w:rPr>
        <w:t xml:space="preserve"> (</w:t>
      </w:r>
      <w:r w:rsidR="008D7BF7" w:rsidRPr="00A52CF4">
        <w:rPr>
          <w:b/>
          <w:bCs/>
          <w:highlight w:val="yellow"/>
        </w:rPr>
        <w:t>SUPPLEMENTARY</w:t>
      </w:r>
      <w:r w:rsidR="008D7BF7">
        <w:rPr>
          <w:bCs/>
        </w:rPr>
        <w:t>)</w:t>
      </w:r>
      <w:r w:rsidR="008D7BF7" w:rsidRPr="003C4859">
        <w:rPr>
          <w:rFonts w:cstheme="minorHAnsi"/>
        </w:rPr>
        <w:t>.</w:t>
      </w:r>
      <w:r w:rsidR="008D7BF7">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7% and reached a minimum/maximum value of X% and X%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1503D4EA">
            <wp:extent cx="3457575" cy="34575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2087" cy="3462087"/>
                    </a:xfrm>
                    <a:prstGeom prst="rect">
                      <a:avLst/>
                    </a:prstGeom>
                    <a:noFill/>
                    <a:ln>
                      <a:noFill/>
                    </a:ln>
                  </pic:spPr>
                </pic:pic>
              </a:graphicData>
            </a:graphic>
          </wp:inline>
        </w:drawing>
      </w:r>
    </w:p>
    <w:p w14:paraId="660FD89D" w14:textId="042E685F"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0366ACD4" w14:textId="77777777" w:rsidR="00A95D6B" w:rsidRDefault="00A95D6B" w:rsidP="00D7598E">
      <w:pPr>
        <w:spacing w:after="0" w:line="360" w:lineRule="auto"/>
        <w:rPr>
          <w:b/>
          <w:bCs/>
          <w:noProof/>
          <w:lang w:eastAsia="en-GB"/>
        </w:rPr>
      </w:pPr>
    </w:p>
    <w:p w14:paraId="5872459B" w14:textId="34BFDC11"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 under full and no importation ()</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The first area contains EoC/ψ</w:t>
      </w:r>
      <w:r w:rsidR="00F11EB1">
        <w:rPr>
          <w:rFonts w:cstheme="minorHAnsi"/>
          <w:bCs/>
          <w:noProof/>
          <w:lang w:eastAsia="en-GB"/>
        </w:rPr>
        <w:t xml:space="preserve"> relationships similar to baseline </w:t>
      </w:r>
      <w:r>
        <w:rPr>
          <w:rFonts w:cstheme="minorHAnsi"/>
          <w:bCs/>
          <w:noProof/>
          <w:lang w:eastAsia="en-GB"/>
        </w:rPr>
        <w:t xml:space="preserve">(bottom-right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sidR="00F11EB1">
        <w:rPr>
          <w:bCs/>
          <w:noProof/>
          <w:lang w:eastAsia="en-GB"/>
        </w:rPr>
        <w:t>relationship</w:t>
      </w:r>
      <w:r>
        <w:rPr>
          <w:bCs/>
          <w:noProof/>
          <w:lang w:eastAsia="en-GB"/>
        </w:rPr>
        <w:t xml:space="prese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5D99C49"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were altered, they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to 0-</w:t>
      </w:r>
      <w:r w:rsidR="00C44636">
        <w:rPr>
          <w:bCs/>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was observed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8%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was also observed at higher values of </w:t>
      </w:r>
      <w:proofErr w:type="spellStart"/>
      <w:r w:rsidR="00C44636">
        <w:rPr>
          <w:bCs/>
        </w:rPr>
        <w:t>Frac</w:t>
      </w:r>
      <w:r w:rsidR="00C44636" w:rsidRPr="00C44636">
        <w:rPr>
          <w:bCs/>
          <w:vertAlign w:val="subscript"/>
        </w:rPr>
        <w:t>Imp</w:t>
      </w:r>
      <w:proofErr w:type="spellEnd"/>
      <w:r w:rsidR="00C44636">
        <w:rPr>
          <w:bCs/>
        </w:rPr>
        <w:t>, with the EoC/</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EF9F460"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20%)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removing ampicillin-resistant contamination on imports (</w:t>
      </w:r>
      <w:proofErr w:type="spellStart"/>
      <w:r>
        <w:rPr>
          <w:rFonts w:cstheme="minorHAnsi"/>
          <w:bCs/>
        </w:rPr>
        <w:t>PropRes</w:t>
      </w:r>
      <w:r w:rsidRPr="008667E4">
        <w:rPr>
          <w:rFonts w:cstheme="minorHAnsi"/>
          <w:bCs/>
          <w:vertAlign w:val="subscript"/>
        </w:rPr>
        <w:t>Imp</w:t>
      </w:r>
      <w:proofErr w:type="spellEnd"/>
      <w:r>
        <w:rPr>
          <w:rFonts w:cstheme="minorHAnsi"/>
          <w:bCs/>
        </w:rPr>
        <w:t xml:space="preserve"> = 0) resulted in changes ψ still having an impact on EoC. 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Pr>
          <w:rFonts w:cstheme="minorHAnsi"/>
          <w:bCs/>
        </w:rPr>
        <w:t>~40%</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EoC/ψ.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(lower levels of contamination) resulted in EoC/</w:t>
      </w:r>
      <w:r w:rsidR="00DB3D19">
        <w:rPr>
          <w:rFonts w:cstheme="minorHAnsi"/>
          <w:bCs/>
        </w:rPr>
        <w:t>ψ</w:t>
      </w:r>
      <w:r w:rsidR="00044754">
        <w:rPr>
          <w:bCs/>
        </w:rPr>
        <w:t xml:space="preserve"> relationship where EoC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 xml:space="preserve">). </w:t>
      </w:r>
      <w:r w:rsidR="00044754">
        <w:rPr>
          <w:bCs/>
        </w:rPr>
        <w:t xml:space="preserve">Note that alterations to </w:t>
      </w:r>
      <w:r w:rsidR="00044754">
        <w:rPr>
          <w:rFonts w:cstheme="minorHAnsi"/>
          <w:bCs/>
        </w:rPr>
        <w:t xml:space="preserve">η result in a linear effect on changing the extent of </w:t>
      </w:r>
      <w:r w:rsidR="00044754" w:rsidRPr="00044754">
        <w:rPr>
          <w:rFonts w:cstheme="minorHAnsi"/>
          <w:bCs/>
          <w:i/>
        </w:rPr>
        <w:t>Salmonella</w:t>
      </w:r>
      <w:r w:rsidR="00044754">
        <w:rPr>
          <w:rFonts w:cstheme="minorHAnsi"/>
          <w:bCs/>
        </w:rPr>
        <w:t xml:space="preserve"> spp. 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25680FA5"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with the relative share of import being distributed equally across importing countries or import being prioritised from a select few countries.</w:t>
      </w:r>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was identified.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9AADCEA"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1,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EoC</w:t>
      </w:r>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4D56C8C2" w14:textId="77777777" w:rsidR="005C008A" w:rsidRPr="005C008A" w:rsidRDefault="005C008A" w:rsidP="005C008A">
      <w:pPr>
        <w:spacing w:after="0" w:line="360" w:lineRule="auto"/>
        <w:jc w:val="center"/>
        <w:rPr>
          <w:b/>
          <w:u w:val="single"/>
        </w:rPr>
      </w:pPr>
    </w:p>
    <w:p w14:paraId="4135F96E" w14:textId="77777777" w:rsidR="005C008A" w:rsidRPr="005C008A" w:rsidRDefault="005C008A" w:rsidP="005C008A">
      <w:pPr>
        <w:spacing w:after="0" w:line="360" w:lineRule="auto"/>
        <w:rPr>
          <w:b/>
          <w:bCs/>
        </w:rPr>
      </w:pPr>
      <w:r w:rsidRPr="005C008A">
        <w:rPr>
          <w:b/>
          <w:bCs/>
          <w:highlight w:val="yellow"/>
        </w:rPr>
        <w:t>Talk about the public health implications of the results – can mention throughout</w:t>
      </w:r>
      <w:r>
        <w:rPr>
          <w:b/>
          <w:bCs/>
        </w:rPr>
        <w:t xml:space="preserve"> </w:t>
      </w:r>
    </w:p>
    <w:p w14:paraId="75D2B087" w14:textId="41AA7A70" w:rsidR="005C008A" w:rsidRDefault="005C008A" w:rsidP="005C008A">
      <w:pPr>
        <w:spacing w:after="0" w:line="360" w:lineRule="auto"/>
        <w:rPr>
          <w:b/>
          <w:u w:val="single"/>
        </w:rPr>
      </w:pPr>
    </w:p>
    <w:p w14:paraId="7B1532CD" w14:textId="0002F3A0" w:rsidR="00196DC0" w:rsidRDefault="00196DC0" w:rsidP="00196DC0">
      <w:pPr>
        <w:spacing w:after="0" w:line="360" w:lineRule="auto"/>
        <w:rPr>
          <w:b/>
          <w:bCs/>
        </w:rPr>
      </w:pPr>
      <w:r w:rsidRPr="00EF7947">
        <w:rPr>
          <w:b/>
          <w:bCs/>
        </w:rPr>
        <w:t>Recap the model results</w:t>
      </w:r>
    </w:p>
    <w:p w14:paraId="0C48EAF0" w14:textId="3E3E9C91" w:rsidR="00185D12" w:rsidRDefault="00185D12" w:rsidP="00196DC0">
      <w:pPr>
        <w:spacing w:after="0" w:line="360" w:lineRule="auto"/>
        <w:rPr>
          <w:b/>
          <w:bCs/>
        </w:rPr>
      </w:pPr>
    </w:p>
    <w:p w14:paraId="6AD406F1" w14:textId="1EFBCD43"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importation from non-domestic sources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was explored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 </w:t>
      </w:r>
      <w:r w:rsidR="00BE6412">
        <w:rPr>
          <w:bCs/>
        </w:rPr>
        <w:t>Expanding the homogen</w:t>
      </w:r>
      <w:r w:rsidR="003636B1">
        <w:rPr>
          <w:bCs/>
        </w:rPr>
        <w:t xml:space="preserve">ous import </w:t>
      </w:r>
      <w:r w:rsidR="00B46C2F">
        <w:rPr>
          <w:bCs/>
        </w:rPr>
        <w:t>model</w:t>
      </w:r>
      <w:r w:rsidR="003636B1">
        <w:rPr>
          <w:bCs/>
        </w:rPr>
        <w:t xml:space="preserve"> to describe heterogeneity in import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 However, increasing the heterogeneity </w:t>
      </w:r>
      <w:r w:rsidR="00B46C2F">
        <w:rPr>
          <w:bCs/>
        </w:rPr>
        <w:t xml:space="preserve">in how import was divided across importing countries increased the level of uncertainty in the efficacy of curtailment following changes to the extent of food product importation.  </w:t>
      </w:r>
    </w:p>
    <w:p w14:paraId="3BBADB87" w14:textId="77777777" w:rsidR="00B46C2F" w:rsidRDefault="00B46C2F" w:rsidP="000D242E">
      <w:pPr>
        <w:spacing w:after="0" w:line="360" w:lineRule="auto"/>
        <w:rPr>
          <w:bCs/>
        </w:rPr>
      </w:pPr>
    </w:p>
    <w:p w14:paraId="3A216888" w14:textId="1D32AA45" w:rsidR="000D242E" w:rsidRDefault="000D242E" w:rsidP="000D242E">
      <w:pPr>
        <w:spacing w:after="0" w:line="360" w:lineRule="auto"/>
        <w:rPr>
          <w:bCs/>
        </w:rPr>
      </w:pPr>
      <w:r w:rsidRPr="00935C63">
        <w:rPr>
          <w:b/>
          <w:bCs/>
        </w:rPr>
        <w:t xml:space="preserve">Talk about import </w:t>
      </w:r>
      <w:r w:rsidR="00A820CF" w:rsidRPr="00935C63">
        <w:rPr>
          <w:b/>
          <w:bCs/>
        </w:rPr>
        <w:t xml:space="preserve">and how it affects out results </w:t>
      </w:r>
      <w:r w:rsidR="00A820CF">
        <w:rPr>
          <w:bCs/>
        </w:rPr>
        <w:t xml:space="preserve">– but place in the </w:t>
      </w:r>
      <w:r w:rsidR="00EF7947">
        <w:rPr>
          <w:bCs/>
        </w:rPr>
        <w:t>relevance</w:t>
      </w:r>
      <w:r w:rsidR="00A820CF">
        <w:rPr>
          <w:bCs/>
        </w:rPr>
        <w:t xml:space="preserve"> of other studies in AMR which show something similar </w:t>
      </w:r>
      <w:r w:rsidR="00D51170">
        <w:rPr>
          <w:bCs/>
        </w:rPr>
        <w:t xml:space="preserve">– how robust are out study results </w:t>
      </w:r>
    </w:p>
    <w:p w14:paraId="5E849350" w14:textId="2ACE0355" w:rsidR="00935C63" w:rsidRDefault="00935C63" w:rsidP="000D242E">
      <w:pPr>
        <w:spacing w:after="0" w:line="360" w:lineRule="auto"/>
        <w:rPr>
          <w:bCs/>
        </w:rPr>
      </w:pPr>
    </w:p>
    <w:p w14:paraId="0B3E28D2" w14:textId="753B8225" w:rsidR="004C3C82" w:rsidRDefault="000D4AB7" w:rsidP="00DA3796">
      <w:pPr>
        <w:spacing w:after="0" w:line="360" w:lineRule="auto"/>
        <w:jc w:val="both"/>
        <w:rPr>
          <w:bCs/>
        </w:rPr>
      </w:pPr>
      <w:r>
        <w:rPr>
          <w:bCs/>
        </w:rPr>
        <w:t>A key result of this study was identifying</w:t>
      </w:r>
      <w:r w:rsidR="00EA4FC1">
        <w:rPr>
          <w:bCs/>
        </w:rPr>
        <w:t xml:space="preserve"> that</w:t>
      </w:r>
      <w:r>
        <w:rPr>
          <w:bCs/>
        </w:rPr>
        <w:t xml:space="preserve"> external AMR transmission</w:t>
      </w:r>
      <w:r w:rsidR="00EA4FC1">
        <w:rPr>
          <w:bCs/>
        </w:rPr>
        <w:t xml:space="preserve"> pressure due to food imports</w:t>
      </w:r>
      <w:r>
        <w:rPr>
          <w:bCs/>
        </w:rPr>
        <w:t xml:space="preserve"> may disrupt domestic interventions targeting local AMR such as antibiotic curtailment. </w:t>
      </w:r>
      <w:r w:rsidR="00EA4FC1">
        <w:rPr>
          <w:bCs/>
        </w:rPr>
        <w:t>Increases in this external transmission pressure promotes antibiotic-sensitive/resistant foodborne disease attributable to imported sources, which is unaffected by domestic livestock interventions. By exte</w:t>
      </w:r>
      <w:r w:rsidR="0098118E">
        <w:rPr>
          <w:bCs/>
        </w:rPr>
        <w:t xml:space="preserve">nsion, parameters, which increase the extent of foodborne disease attributable to imported sources, will have a greater </w:t>
      </w:r>
      <w:r w:rsidR="004C3C82">
        <w:rPr>
          <w:bCs/>
        </w:rPr>
        <w:t xml:space="preserve">influence on disrupting the efficacy of local antibiotic </w:t>
      </w:r>
      <w:r w:rsidR="0098118E">
        <w:rPr>
          <w:bCs/>
        </w:rPr>
        <w:t xml:space="preserve">curtailment. </w:t>
      </w:r>
      <w:r w:rsidR="004C3C82">
        <w:rPr>
          <w:bCs/>
        </w:rPr>
        <w:t>This includes intuitively important parameters such as the decreasing the extent of UK food usage from domestic sources (</w:t>
      </w:r>
      <w:r w:rsidR="004D37AC">
        <w:rPr>
          <w:rFonts w:cstheme="minorHAnsi"/>
          <w:bCs/>
        </w:rPr>
        <w:t>ψ</w:t>
      </w:r>
      <w:r w:rsidR="004C3C82">
        <w:rPr>
          <w:bCs/>
        </w:rPr>
        <w:t xml:space="preserve">) and increasing the extent of overall or ampicillin-resistant </w:t>
      </w:r>
      <w:r w:rsidR="004C3C82" w:rsidRPr="004D37AC">
        <w:rPr>
          <w:bCs/>
          <w:i/>
        </w:rPr>
        <w:t>Salmonella</w:t>
      </w:r>
      <w:r w:rsidR="004C3C82">
        <w:rPr>
          <w:bCs/>
        </w:rPr>
        <w:t xml:space="preserve"> spp. contamination on imports (</w:t>
      </w:r>
      <w:proofErr w:type="spellStart"/>
      <w:r w:rsidR="004C3C82">
        <w:rPr>
          <w:bCs/>
        </w:rPr>
        <w:t>Frac</w:t>
      </w:r>
      <w:r w:rsidR="004C3C82" w:rsidRPr="004D37AC">
        <w:rPr>
          <w:bCs/>
          <w:vertAlign w:val="subscript"/>
        </w:rPr>
        <w:t>Imp</w:t>
      </w:r>
      <w:proofErr w:type="spellEnd"/>
      <w:r w:rsidR="004C3C82">
        <w:rPr>
          <w:bCs/>
        </w:rPr>
        <w:t xml:space="preserve"> and </w:t>
      </w:r>
      <w:proofErr w:type="spellStart"/>
      <w:r w:rsidR="004C3C82">
        <w:rPr>
          <w:bCs/>
        </w:rPr>
        <w:t>PropRes</w:t>
      </w:r>
      <w:r w:rsidR="004C3C82" w:rsidRPr="004D37AC">
        <w:rPr>
          <w:bCs/>
          <w:vertAlign w:val="subscript"/>
        </w:rPr>
        <w:t>Imp</w:t>
      </w:r>
      <w:proofErr w:type="spellEnd"/>
      <w:r w:rsidR="004C3C82">
        <w:rPr>
          <w:bCs/>
        </w:rPr>
        <w:t>). Interestingly, this also applie</w:t>
      </w:r>
      <w:r w:rsidR="004D37AC">
        <w:rPr>
          <w:bCs/>
        </w:rPr>
        <w:t xml:space="preserve">d to more efficacious reductions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w:t>
      </w:r>
      <w:r w:rsidR="004D37AC">
        <w:rPr>
          <w:bCs/>
        </w:rPr>
        <w:lastRenderedPageBreak/>
        <w:t xml:space="preserve">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reduces foodborne disease attributable to domestic livestock and similarly disrupts the efficacy of local livestock curtailment. </w:t>
      </w:r>
    </w:p>
    <w:p w14:paraId="3F9C631A" w14:textId="28CD8016" w:rsidR="00496C83" w:rsidRDefault="00496C83" w:rsidP="00DA3796">
      <w:pPr>
        <w:spacing w:after="0" w:line="360" w:lineRule="auto"/>
        <w:jc w:val="both"/>
        <w:rPr>
          <w:bCs/>
        </w:rPr>
      </w:pPr>
    </w:p>
    <w:p w14:paraId="26096BD6" w14:textId="6EB787EF" w:rsidR="00DA3796" w:rsidRDefault="000D4AB7" w:rsidP="00DA3796">
      <w:pPr>
        <w:spacing w:after="0" w:line="360" w:lineRule="auto"/>
        <w:jc w:val="both"/>
        <w:rPr>
          <w:bCs/>
        </w:rPr>
      </w:pPr>
      <w:r>
        <w:rPr>
          <w:bCs/>
        </w:rPr>
        <w:t>The interruption of local disease dynamics through external transmission pressures is a known phenomenon in dynamic modelling literature (</w:t>
      </w:r>
      <w:r w:rsidRPr="000D4AB7">
        <w:rPr>
          <w:b/>
          <w:bCs/>
          <w:highlight w:val="yellow"/>
        </w:rPr>
        <w:t>cite</w:t>
      </w:r>
      <w:r>
        <w:rPr>
          <w:bCs/>
        </w:rPr>
        <w:t>). For example, studies have identified that interaction between sub-populations and spill over of AMR may drastically reduce the efficacy of local curtailment interventions</w:t>
      </w:r>
      <w:r w:rsidR="00496C83">
        <w:rPr>
          <w:bCs/>
        </w:rPr>
        <w:t>,</w:t>
      </w:r>
      <w:r>
        <w:rPr>
          <w:bCs/>
        </w:rPr>
        <w:t xml:space="preserve"> and with meta</w:t>
      </w:r>
      <w:r w:rsidR="004D37AC">
        <w:rPr>
          <w:bCs/>
        </w:rPr>
        <w:t>-</w:t>
      </w:r>
      <w:r>
        <w:rPr>
          <w:bCs/>
        </w:rPr>
        <w:t xml:space="preserve">population models also predicting strain coexistence due to the interaction and maintenance of AMR due to </w:t>
      </w:r>
      <w:r w:rsidR="00DA3796">
        <w:rPr>
          <w:bCs/>
        </w:rPr>
        <w:t xml:space="preserve">subpopulation </w:t>
      </w:r>
      <w:r>
        <w:rPr>
          <w:bCs/>
        </w:rPr>
        <w:t>interaction (</w:t>
      </w:r>
      <w:r w:rsidRPr="000D4AB7">
        <w:rPr>
          <w:b/>
          <w:bCs/>
          <w:highlight w:val="yellow"/>
        </w:rPr>
        <w:t>cite</w:t>
      </w:r>
      <w:r>
        <w:rPr>
          <w:bCs/>
        </w:rPr>
        <w:t>)</w:t>
      </w:r>
      <w:r w:rsidR="00DA3796">
        <w:rPr>
          <w:bCs/>
        </w:rPr>
        <w:t>.</w:t>
      </w:r>
      <w:r w:rsidR="00496C83">
        <w:rPr>
          <w:bCs/>
        </w:rPr>
        <w:t xml:space="preserve"> However, this study places these interactions in the context of antibiotic-resistance in imported foodborne pathogens and the potential interruption of one-health interventions. </w:t>
      </w:r>
    </w:p>
    <w:p w14:paraId="5176F15F" w14:textId="77777777" w:rsidR="00873797" w:rsidRDefault="00873797" w:rsidP="000D242E">
      <w:pPr>
        <w:spacing w:after="0" w:line="360" w:lineRule="auto"/>
        <w:rPr>
          <w:bCs/>
        </w:rPr>
      </w:pPr>
    </w:p>
    <w:p w14:paraId="46AF0569" w14:textId="537BFE1D" w:rsidR="000D242E" w:rsidRDefault="000D242E" w:rsidP="000D242E">
      <w:pPr>
        <w:spacing w:after="0" w:line="360" w:lineRule="auto"/>
        <w:rPr>
          <w:b/>
        </w:rPr>
      </w:pPr>
      <w:r w:rsidRPr="00873797">
        <w:rPr>
          <w:b/>
        </w:rPr>
        <w:t>Talk about the saturation effect</w:t>
      </w:r>
    </w:p>
    <w:p w14:paraId="53A15CD3" w14:textId="32D8EFCE" w:rsidR="00A06BA2" w:rsidRDefault="00A06BA2" w:rsidP="00A06BA2">
      <w:pPr>
        <w:spacing w:after="0" w:line="360" w:lineRule="auto"/>
        <w:rPr>
          <w:bCs/>
        </w:rPr>
      </w:pPr>
    </w:p>
    <w:p w14:paraId="477483A8" w14:textId="62005583" w:rsidR="00F11EB1"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outcome measure</w:t>
      </w:r>
      <w:r w:rsidR="007051A5">
        <w:rPr>
          <w:bCs/>
        </w:rPr>
        <w:t xml:space="preserve"> (EoC)</w:t>
      </w:r>
      <w:r>
        <w:rPr>
          <w:bCs/>
        </w:rPr>
        <w:t xml:space="preserve"> was a key result for this study. If a greater amount of importation is desired, then it is objectively better to shift the EoC/</w:t>
      </w:r>
      <w:r>
        <w:rPr>
          <w:rFonts w:cstheme="minorHAnsi"/>
          <w:bCs/>
        </w:rPr>
        <w:t>ψ</w:t>
      </w:r>
      <w:r>
        <w:rPr>
          <w:bCs/>
        </w:rPr>
        <w:t xml:space="preserve"> relationship to an area where EoC remains high for a large range of import values (Figure 5; green area). Interestingly, the baseline UK case study occupies the </w:t>
      </w:r>
      <w:r w:rsidR="007051A5">
        <w:rPr>
          <w:bCs/>
        </w:rPr>
        <w:t>opposing</w:t>
      </w:r>
      <w:r>
        <w:rPr>
          <w:bCs/>
        </w:rPr>
        <w:t xml:space="preserve"> area, with increases in import (</w:t>
      </w:r>
      <w:r>
        <w:rPr>
          <w:rFonts w:cstheme="minorHAnsi"/>
          <w:bCs/>
        </w:rPr>
        <w:t>ψ &lt; 0.656</w:t>
      </w:r>
      <w:r>
        <w:rPr>
          <w:bCs/>
        </w:rPr>
        <w:t xml:space="preserve">), quickly resulting in large decreases to EoC. </w:t>
      </w:r>
      <w:r w:rsidR="007051A5">
        <w:rPr>
          <w:bCs/>
        </w:rPr>
        <w:t xml:space="preserve">This suggests that increasing the extent of UK food products from imported sources may result in a disruption in the efficacy of local livestock curtailment strategies. </w:t>
      </w:r>
    </w:p>
    <w:p w14:paraId="2782B86C" w14:textId="3C28C227" w:rsidR="007051A5" w:rsidRDefault="007051A5" w:rsidP="007051A5">
      <w:pPr>
        <w:pStyle w:val="ListParagraph"/>
        <w:numPr>
          <w:ilvl w:val="0"/>
          <w:numId w:val="23"/>
        </w:numPr>
        <w:spacing w:after="0" w:line="360" w:lineRule="auto"/>
        <w:rPr>
          <w:bCs/>
        </w:rPr>
      </w:pPr>
      <w:r>
        <w:rPr>
          <w:bCs/>
        </w:rPr>
        <w:t xml:space="preserve">Place this in the context of increasing reliance of UK interventions and just general an increase in import </w:t>
      </w:r>
    </w:p>
    <w:p w14:paraId="02AD33E1" w14:textId="3ACE3FCD" w:rsidR="007051A5" w:rsidRPr="007051A5" w:rsidRDefault="007051A5" w:rsidP="007051A5">
      <w:pPr>
        <w:pStyle w:val="ListParagraph"/>
        <w:numPr>
          <w:ilvl w:val="0"/>
          <w:numId w:val="23"/>
        </w:numPr>
        <w:spacing w:after="0" w:line="360" w:lineRule="auto"/>
        <w:rPr>
          <w:bCs/>
        </w:rPr>
      </w:pPr>
      <w:r>
        <w:rPr>
          <w:bCs/>
        </w:rPr>
        <w:t xml:space="preserve">Not much attention has been placed on how food imports may affect resistant foodborne disease – cite studies which say this </w:t>
      </w:r>
    </w:p>
    <w:p w14:paraId="7B19AE67" w14:textId="3C762011" w:rsidR="00F11EB1" w:rsidRDefault="00F11EB1" w:rsidP="00A06BA2">
      <w:pPr>
        <w:spacing w:after="0" w:line="360" w:lineRule="auto"/>
        <w:rPr>
          <w:bCs/>
        </w:rPr>
      </w:pPr>
    </w:p>
    <w:p w14:paraId="1AB8F695" w14:textId="44D873C4" w:rsidR="00D97C0B" w:rsidRDefault="00D97C0B" w:rsidP="00A06BA2">
      <w:pPr>
        <w:spacing w:after="0" w:line="360" w:lineRule="auto"/>
        <w:rPr>
          <w:bCs/>
        </w:rPr>
      </w:pPr>
    </w:p>
    <w:p w14:paraId="3EDE048A" w14:textId="6660EFE8" w:rsidR="00D97C0B" w:rsidRDefault="00D97C0B" w:rsidP="00A06BA2">
      <w:pPr>
        <w:spacing w:after="0" w:line="360" w:lineRule="auto"/>
        <w:rPr>
          <w:bCs/>
        </w:rPr>
      </w:pPr>
    </w:p>
    <w:p w14:paraId="2FE085F4" w14:textId="537F9FFB" w:rsidR="00D97C0B" w:rsidRDefault="00D97C0B" w:rsidP="00A06BA2">
      <w:pPr>
        <w:spacing w:after="0" w:line="360" w:lineRule="auto"/>
        <w:rPr>
          <w:bCs/>
        </w:rPr>
      </w:pPr>
    </w:p>
    <w:p w14:paraId="62293ED1" w14:textId="635BC193" w:rsidR="00D97C0B" w:rsidRDefault="00D97C0B" w:rsidP="00A06BA2">
      <w:pPr>
        <w:spacing w:after="0" w:line="360" w:lineRule="auto"/>
        <w:rPr>
          <w:bCs/>
        </w:rPr>
      </w:pPr>
    </w:p>
    <w:p w14:paraId="521E0296" w14:textId="64561AB1" w:rsidR="00D97C0B" w:rsidRDefault="00D97C0B" w:rsidP="00A06BA2">
      <w:pPr>
        <w:spacing w:after="0" w:line="360" w:lineRule="auto"/>
        <w:rPr>
          <w:bCs/>
        </w:rPr>
      </w:pPr>
    </w:p>
    <w:p w14:paraId="564AEF36" w14:textId="13C7CE93" w:rsidR="00D97C0B" w:rsidRDefault="00D97C0B" w:rsidP="00A06BA2">
      <w:pPr>
        <w:spacing w:after="0" w:line="360" w:lineRule="auto"/>
        <w:rPr>
          <w:bCs/>
        </w:rPr>
      </w:pPr>
    </w:p>
    <w:p w14:paraId="734C9CB7" w14:textId="5D2504FA" w:rsidR="00D97C0B" w:rsidRDefault="00D97C0B" w:rsidP="00A06BA2">
      <w:pPr>
        <w:spacing w:after="0" w:line="360" w:lineRule="auto"/>
        <w:rPr>
          <w:bCs/>
        </w:rPr>
      </w:pPr>
    </w:p>
    <w:p w14:paraId="703CC542" w14:textId="77777777" w:rsidR="00D97C0B" w:rsidRDefault="00D97C0B" w:rsidP="00A06BA2">
      <w:pPr>
        <w:spacing w:after="0" w:line="360" w:lineRule="auto"/>
        <w:rPr>
          <w:bCs/>
        </w:rPr>
      </w:pPr>
    </w:p>
    <w:p w14:paraId="120B9D6A" w14:textId="720AD296" w:rsidR="00B072CB" w:rsidRDefault="00B16943" w:rsidP="00331CB5">
      <w:pPr>
        <w:spacing w:after="0" w:line="360" w:lineRule="auto"/>
        <w:jc w:val="both"/>
        <w:rPr>
          <w:rFonts w:cstheme="minorHAnsi"/>
          <w:bCs/>
        </w:rPr>
      </w:pPr>
      <w:r>
        <w:rPr>
          <w:bCs/>
        </w:rPr>
        <w:lastRenderedPageBreak/>
        <w:t>The balance between the average level of contamination on imported food products and the extent of contamination on domestic food products/carcasses drives the</w:t>
      </w:r>
      <w:r w:rsidR="00331CB5">
        <w:rPr>
          <w:bCs/>
        </w:rPr>
        <w:t xml:space="preserve"> shape of the</w:t>
      </w:r>
      <w:r>
        <w:rPr>
          <w:bCs/>
        </w:rPr>
        <w:t xml:space="preserve"> relationship between EoC/</w:t>
      </w:r>
      <w:r>
        <w:rPr>
          <w:rFonts w:cstheme="minorHAnsi"/>
          <w:bCs/>
        </w:rPr>
        <w:t xml:space="preserve">ψ. High levels of domestic food contamination relative to contamination on imports results in a more positive EoC/ψ relationship (Figure X; green area). Conversely, as with the UK case study, </w:t>
      </w:r>
      <w:r w:rsidR="00B072CB">
        <w:rPr>
          <w:bCs/>
        </w:rPr>
        <w:t>EoC/</w:t>
      </w:r>
      <w:r w:rsidR="00B072CB">
        <w:rPr>
          <w:rFonts w:cstheme="minorHAnsi"/>
          <w:bCs/>
        </w:rPr>
        <w:t>ψ relationship sits in a less advantageous area</w:t>
      </w:r>
      <w:r w:rsidR="00D97C0B">
        <w:rPr>
          <w:rFonts w:cstheme="minorHAnsi"/>
          <w:bCs/>
        </w:rPr>
        <w:t xml:space="preserve"> for increasing import ()</w:t>
      </w:r>
      <w:r w:rsidR="00331CB5">
        <w:rPr>
          <w:rFonts w:cstheme="minorHAnsi"/>
          <w:bCs/>
        </w:rPr>
        <w:t>,</w:t>
      </w:r>
      <w:r w:rsidR="00D97C0B">
        <w:rPr>
          <w:rFonts w:cstheme="minorHAnsi"/>
          <w:bCs/>
        </w:rPr>
        <w:t xml:space="preserve"> due to the average level of non-domestic contamination exceeding that of domestic livestock food product contamination (). As an illustrative example, changes to η = … % result in import/domestic contamination being roughly equal resulting in a near linear relationship between EoC/ψ. Further increases to η result in greater levels of domestic contamination relative to import and therefore the EoC remains high for a large range of import values due to the high levels of attributable foodborne disease to domestic sources. </w:t>
      </w:r>
    </w:p>
    <w:p w14:paraId="21ABC349" w14:textId="5654A70F" w:rsidR="00275E05" w:rsidRDefault="00275E05" w:rsidP="000D242E">
      <w:pPr>
        <w:spacing w:after="0" w:line="360" w:lineRule="auto"/>
        <w:rPr>
          <w:bCs/>
        </w:rPr>
      </w:pPr>
    </w:p>
    <w:p w14:paraId="255514C7" w14:textId="77777777" w:rsidR="008F614E" w:rsidRDefault="000017CA" w:rsidP="008F614E">
      <w:pPr>
        <w:spacing w:after="0" w:line="360" w:lineRule="auto"/>
        <w:jc w:val="both"/>
        <w:rPr>
          <w:rFonts w:cstheme="minorHAnsi"/>
          <w:bCs/>
        </w:rPr>
      </w:pPr>
      <w:r>
        <w:rPr>
          <w:bCs/>
        </w:rPr>
        <w:t>Interestingly</w:t>
      </w:r>
      <w:r w:rsidR="00331CB5">
        <w:rPr>
          <w:bCs/>
        </w:rPr>
        <w:t>, there is also the existence of a saturation effect with the relationship between EoC/</w:t>
      </w:r>
      <w:r w:rsidR="00331CB5">
        <w:rPr>
          <w:rFonts w:cstheme="minorHAnsi"/>
          <w:bCs/>
        </w:rPr>
        <w:t>ψ. For example, increases in the average level of overall/ampicillin contamination on imports () above baseline values () quickly reaches stabilises at a</w:t>
      </w:r>
      <w:r w:rsidR="008F614E">
        <w:rPr>
          <w:rFonts w:cstheme="minorHAnsi"/>
          <w:bCs/>
        </w:rPr>
        <w:t>n</w:t>
      </w:r>
      <w:r w:rsidR="00331CB5">
        <w:rPr>
          <w:rFonts w:cstheme="minorHAnsi"/>
          <w:bCs/>
        </w:rPr>
        <w:t xml:space="preserve"> EoC/ψ </w:t>
      </w:r>
      <w:r w:rsidR="008F614E">
        <w:rPr>
          <w:rFonts w:cstheme="minorHAnsi"/>
          <w:bCs/>
        </w:rPr>
        <w:t>relationship where the efficacy of curtailment is at its worst possible relationship with increases to import ().</w:t>
      </w:r>
    </w:p>
    <w:p w14:paraId="5DBEFE68" w14:textId="77F02D7E" w:rsidR="006338E5" w:rsidRDefault="006338E5" w:rsidP="006338E5">
      <w:pPr>
        <w:spacing w:after="0" w:line="360" w:lineRule="auto"/>
        <w:rPr>
          <w:bCs/>
        </w:rPr>
      </w:pPr>
    </w:p>
    <w:p w14:paraId="0332BF71" w14:textId="77777777" w:rsidR="006338E5" w:rsidRDefault="006338E5" w:rsidP="006338E5">
      <w:pPr>
        <w:spacing w:after="0" w:line="360" w:lineRule="auto"/>
        <w:rPr>
          <w:b/>
        </w:rPr>
      </w:pPr>
      <w:r w:rsidRPr="00176C85">
        <w:rPr>
          <w:b/>
        </w:rPr>
        <w:t xml:space="preserve">Talk about the lack of the effect of heterogeneity </w:t>
      </w:r>
    </w:p>
    <w:p w14:paraId="4CE6F57E" w14:textId="77777777" w:rsidR="006338E5" w:rsidRPr="00CB1797" w:rsidRDefault="006338E5" w:rsidP="006338E5">
      <w:pPr>
        <w:spacing w:after="0" w:line="360" w:lineRule="auto"/>
      </w:pPr>
    </w:p>
    <w:p w14:paraId="5364B964" w14:textId="77777777" w:rsidR="006338E5" w:rsidRPr="00CB1797" w:rsidRDefault="006338E5" w:rsidP="006338E5">
      <w:pPr>
        <w:spacing w:after="0" w:line="360" w:lineRule="auto"/>
      </w:pPr>
      <w:r w:rsidRPr="00CB1797">
        <w:t xml:space="preserve">It is important to note that we define two </w:t>
      </w:r>
      <w:proofErr w:type="spellStart"/>
      <w:r w:rsidRPr="00CB1797">
        <w:t>phenomneom</w:t>
      </w:r>
      <w:proofErr w:type="spellEnd"/>
      <w:r w:rsidRPr="00CB1797">
        <w:t xml:space="preserve"> here, heterogeneity in the relative share of importing countries and the average level of contamiantion and </w:t>
      </w:r>
      <w:proofErr w:type="spellStart"/>
      <w:r w:rsidRPr="00CB1797">
        <w:t>reisstance</w:t>
      </w:r>
      <w:proofErr w:type="spellEnd"/>
      <w:r w:rsidRPr="00CB1797">
        <w:t xml:space="preserve">. This is because heterogeneity in the latter two terms </w:t>
      </w:r>
      <w:proofErr w:type="spellStart"/>
      <w:r w:rsidRPr="00CB1797">
        <w:t>affetcs</w:t>
      </w:r>
      <w:proofErr w:type="spellEnd"/>
      <w:r w:rsidRPr="00CB1797">
        <w:t xml:space="preserve"> the </w:t>
      </w:r>
      <w:proofErr w:type="spellStart"/>
      <w:r w:rsidRPr="00CB1797">
        <w:t>eocpsi</w:t>
      </w:r>
      <w:proofErr w:type="spellEnd"/>
      <w:r w:rsidRPr="00CB1797">
        <w:t xml:space="preserve"> relationship simply by shifting the average across these countries. </w:t>
      </w:r>
      <w:proofErr w:type="gramStart"/>
      <w:r w:rsidRPr="00CB1797">
        <w:t>Therefore</w:t>
      </w:r>
      <w:proofErr w:type="gramEnd"/>
      <w:r w:rsidRPr="00CB1797">
        <w:t xml:space="preserve"> it is not heterogeneity rather the average level that is impact the </w:t>
      </w:r>
      <w:proofErr w:type="spellStart"/>
      <w:r w:rsidRPr="00CB1797">
        <w:t>eoc</w:t>
      </w:r>
      <w:proofErr w:type="spellEnd"/>
      <w:r w:rsidRPr="00CB1797">
        <w:t>/psi relationship.</w:t>
      </w:r>
    </w:p>
    <w:p w14:paraId="5A292145" w14:textId="77777777" w:rsidR="006338E5" w:rsidRPr="00CB1797" w:rsidRDefault="006338E5" w:rsidP="006338E5">
      <w:pPr>
        <w:spacing w:after="0" w:line="360" w:lineRule="auto"/>
      </w:pPr>
    </w:p>
    <w:p w14:paraId="76EE3C24" w14:textId="77777777" w:rsidR="006338E5" w:rsidRPr="00CB1797" w:rsidRDefault="006338E5" w:rsidP="006338E5">
      <w:pPr>
        <w:spacing w:after="0" w:line="360" w:lineRule="auto"/>
      </w:pPr>
      <w:proofErr w:type="gramStart"/>
      <w:r w:rsidRPr="00CB1797">
        <w:t>Therefore</w:t>
      </w:r>
      <w:proofErr w:type="gramEnd"/>
      <w:r w:rsidRPr="00CB1797">
        <w:t xml:space="preserve"> we limit analysis into heterogeneity into the Share parameter, that because of the inherent need to sum to 1, we can actually explore heterogeneity here. Although it is recognised that this may </w:t>
      </w:r>
      <w:proofErr w:type="spellStart"/>
      <w:r w:rsidRPr="00CB1797">
        <w:t>siomply</w:t>
      </w:r>
      <w:proofErr w:type="spellEnd"/>
      <w:r w:rsidRPr="00CB1797">
        <w:t xml:space="preserve"> work to shift the average </w:t>
      </w:r>
    </w:p>
    <w:p w14:paraId="2C861662" w14:textId="77777777" w:rsidR="006338E5" w:rsidRPr="00CB1797" w:rsidRDefault="006338E5" w:rsidP="006338E5">
      <w:pPr>
        <w:spacing w:after="0" w:line="360" w:lineRule="auto"/>
      </w:pPr>
    </w:p>
    <w:p w14:paraId="2F157742" w14:textId="77777777" w:rsidR="006338E5" w:rsidRPr="00CB1797" w:rsidRDefault="006338E5" w:rsidP="006338E5">
      <w:pPr>
        <w:spacing w:after="0" w:line="360" w:lineRule="auto"/>
      </w:pPr>
      <w:r w:rsidRPr="00CB1797">
        <w:t xml:space="preserve">It is important to note that heterogeneity in the outcome measures alter the relationship between EoC/Psi primarily through changes to the average level of contamiantion or resistance. The clearest example of this is the contamiantion and frac imp analyses where the average effect has a strong effect. </w:t>
      </w:r>
    </w:p>
    <w:p w14:paraId="658CE7A8" w14:textId="77777777" w:rsidR="006338E5" w:rsidRPr="00CB1797" w:rsidRDefault="006338E5" w:rsidP="006338E5">
      <w:pPr>
        <w:spacing w:after="0" w:line="360" w:lineRule="auto"/>
      </w:pPr>
    </w:p>
    <w:p w14:paraId="699FF936" w14:textId="77777777" w:rsidR="006338E5" w:rsidRPr="00CB1797" w:rsidRDefault="006338E5" w:rsidP="006338E5">
      <w:pPr>
        <w:spacing w:after="0" w:line="360" w:lineRule="auto"/>
      </w:pPr>
      <w:r w:rsidRPr="00CB1797">
        <w:lastRenderedPageBreak/>
        <w:t xml:space="preserve">A more subtle example is the changes int eh relative share of import – which likely affects the average contamination and resistance through more indirect means – </w:t>
      </w:r>
      <w:proofErr w:type="spellStart"/>
      <w:r w:rsidRPr="00CB1797">
        <w:t>i.e</w:t>
      </w:r>
      <w:proofErr w:type="spellEnd"/>
      <w:r w:rsidRPr="00CB1797">
        <w:t xml:space="preserve"> a skewed import distribution might skew towards countries with high levels of contamiantion or resistance.</w:t>
      </w:r>
    </w:p>
    <w:p w14:paraId="39287D03" w14:textId="77777777" w:rsidR="006338E5" w:rsidRPr="00CB1797" w:rsidRDefault="006338E5" w:rsidP="006338E5">
      <w:pPr>
        <w:spacing w:after="0" w:line="360" w:lineRule="auto"/>
      </w:pPr>
    </w:p>
    <w:p w14:paraId="6150A13F" w14:textId="77777777" w:rsidR="006338E5" w:rsidRPr="00CB1797" w:rsidRDefault="006338E5" w:rsidP="006338E5">
      <w:pPr>
        <w:spacing w:after="0" w:line="360" w:lineRule="auto"/>
      </w:pPr>
      <w:r w:rsidRPr="00CB1797">
        <w:t xml:space="preserve">This is the case due to the star network aspect of the heterogenous </w:t>
      </w:r>
      <w:proofErr w:type="spellStart"/>
      <w:proofErr w:type="gramStart"/>
      <w:r w:rsidRPr="00CB1797">
        <w:t>model,w</w:t>
      </w:r>
      <w:proofErr w:type="spellEnd"/>
      <w:proofErr w:type="gramEnd"/>
      <w:r w:rsidRPr="00CB1797">
        <w:t xml:space="preserve"> </w:t>
      </w:r>
      <w:proofErr w:type="spellStart"/>
      <w:r w:rsidRPr="00CB1797">
        <w:t>ith</w:t>
      </w:r>
      <w:proofErr w:type="spellEnd"/>
      <w:r w:rsidRPr="00CB1797">
        <w:t xml:space="preserve"> the only things affecting the importation transmission pressure the </w:t>
      </w:r>
      <w:proofErr w:type="spellStart"/>
      <w:r w:rsidRPr="00CB1797">
        <w:t>relatiknship</w:t>
      </w:r>
      <w:proofErr w:type="spellEnd"/>
      <w:r w:rsidRPr="00CB1797">
        <w:t xml:space="preserve"> between </w:t>
      </w:r>
      <w:proofErr w:type="spellStart"/>
      <w:r w:rsidRPr="00CB1797">
        <w:t>cont</w:t>
      </w:r>
      <w:proofErr w:type="spellEnd"/>
      <w:r w:rsidRPr="00CB1797">
        <w:t xml:space="preserve"> and share and psi parameters. </w:t>
      </w:r>
    </w:p>
    <w:p w14:paraId="6D46E0D3" w14:textId="77777777" w:rsidR="006338E5" w:rsidRDefault="006338E5" w:rsidP="006338E5">
      <w:pPr>
        <w:spacing w:after="0" w:line="360" w:lineRule="auto"/>
      </w:pPr>
    </w:p>
    <w:p w14:paraId="532BF0EB" w14:textId="77777777" w:rsidR="006338E5" w:rsidRPr="00CB1797" w:rsidRDefault="006338E5" w:rsidP="006338E5">
      <w:pPr>
        <w:pStyle w:val="ListParagraph"/>
        <w:numPr>
          <w:ilvl w:val="0"/>
          <w:numId w:val="18"/>
        </w:numPr>
        <w:spacing w:after="0" w:line="360" w:lineRule="auto"/>
      </w:pPr>
      <w:r>
        <w:t xml:space="preserve">Here </w:t>
      </w:r>
      <w:proofErr w:type="spellStart"/>
      <w:r>
        <w:t>emntion</w:t>
      </w:r>
      <w:proofErr w:type="spellEnd"/>
      <w:r>
        <w:t xml:space="preserve"> the need to reduce the average level of import  </w:t>
      </w:r>
    </w:p>
    <w:p w14:paraId="57C6415C" w14:textId="77777777" w:rsidR="006338E5" w:rsidRPr="00CB1797" w:rsidRDefault="006338E5" w:rsidP="006338E5">
      <w:pPr>
        <w:spacing w:after="0" w:line="360" w:lineRule="auto"/>
      </w:pPr>
      <w:r w:rsidRPr="00CB1797">
        <w:t xml:space="preserve">However, we note that heterogeneity does increase the level of uncertainty with the relationship – primarily due to more </w:t>
      </w:r>
      <w:proofErr w:type="spellStart"/>
      <w:r w:rsidRPr="00CB1797">
        <w:t>cvariation</w:t>
      </w:r>
      <w:proofErr w:type="spellEnd"/>
      <w:r w:rsidRPr="00CB1797">
        <w:t xml:space="preserve"> in which countries you might sample a lot from.</w:t>
      </w:r>
    </w:p>
    <w:p w14:paraId="6BC64607" w14:textId="77777777" w:rsidR="006338E5" w:rsidRPr="00CB1797" w:rsidRDefault="006338E5" w:rsidP="006338E5">
      <w:pPr>
        <w:pStyle w:val="ListParagraph"/>
        <w:numPr>
          <w:ilvl w:val="0"/>
          <w:numId w:val="18"/>
        </w:numPr>
        <w:spacing w:after="0" w:line="360" w:lineRule="auto"/>
      </w:pPr>
      <w:r w:rsidRPr="00CB1797">
        <w:t xml:space="preserve">This is a known </w:t>
      </w:r>
      <w:proofErr w:type="spellStart"/>
      <w:r w:rsidRPr="00CB1797">
        <w:t>phenomneom</w:t>
      </w:r>
      <w:proofErr w:type="spellEnd"/>
      <w:r w:rsidRPr="00CB1797">
        <w:t xml:space="preserve"> with 80/20 rule situations </w:t>
      </w:r>
    </w:p>
    <w:p w14:paraId="3079720E" w14:textId="77777777" w:rsidR="006338E5" w:rsidRPr="00CB1797" w:rsidRDefault="006338E5" w:rsidP="006338E5">
      <w:pPr>
        <w:pStyle w:val="ListParagraph"/>
        <w:numPr>
          <w:ilvl w:val="0"/>
          <w:numId w:val="18"/>
        </w:numPr>
        <w:spacing w:after="0" w:line="360" w:lineRule="auto"/>
      </w:pPr>
      <w:r w:rsidRPr="00CB1797">
        <w:t xml:space="preserve">It also means that the effect of interventions may be more uncertain – with a more skewed distribution. </w:t>
      </w:r>
    </w:p>
    <w:p w14:paraId="0C1DF8F1" w14:textId="7F018249" w:rsidR="006338E5" w:rsidRPr="006338E5" w:rsidRDefault="006338E5" w:rsidP="006338E5">
      <w:pPr>
        <w:pStyle w:val="ListParagraph"/>
        <w:numPr>
          <w:ilvl w:val="1"/>
          <w:numId w:val="18"/>
        </w:numPr>
        <w:spacing w:after="0" w:line="360" w:lineRule="auto"/>
        <w:rPr>
          <w:highlight w:val="yellow"/>
        </w:rPr>
      </w:pPr>
      <w:r w:rsidRPr="00CB1797">
        <w:rPr>
          <w:highlight w:val="yellow"/>
        </w:rPr>
        <w:t xml:space="preserve">What are the policy implications of this uncertainty?? </w:t>
      </w:r>
    </w:p>
    <w:p w14:paraId="15BFFD98" w14:textId="55740627" w:rsidR="006338E5" w:rsidRDefault="006338E5" w:rsidP="008F614E">
      <w:pPr>
        <w:spacing w:after="0" w:line="360" w:lineRule="auto"/>
        <w:jc w:val="both"/>
        <w:rPr>
          <w:rFonts w:cstheme="minorHAnsi"/>
          <w:b/>
          <w:bCs/>
        </w:rPr>
      </w:pPr>
    </w:p>
    <w:p w14:paraId="16551DBF" w14:textId="77777777" w:rsidR="00F4591F" w:rsidRPr="006338E5" w:rsidRDefault="00F4591F" w:rsidP="008F614E">
      <w:pPr>
        <w:spacing w:after="0" w:line="360" w:lineRule="auto"/>
        <w:jc w:val="both"/>
        <w:rPr>
          <w:rFonts w:cstheme="minorHAnsi"/>
          <w:b/>
          <w:bCs/>
        </w:rPr>
      </w:pPr>
    </w:p>
    <w:p w14:paraId="02537135" w14:textId="3EE37774" w:rsidR="006338E5" w:rsidRPr="006338E5" w:rsidRDefault="006338E5" w:rsidP="008F614E">
      <w:pPr>
        <w:spacing w:after="0" w:line="360" w:lineRule="auto"/>
        <w:jc w:val="both"/>
        <w:rPr>
          <w:rFonts w:cstheme="minorHAnsi"/>
          <w:b/>
          <w:bCs/>
        </w:rPr>
      </w:pPr>
      <w:r w:rsidRPr="006338E5">
        <w:rPr>
          <w:rFonts w:cstheme="minorHAnsi"/>
          <w:b/>
          <w:bCs/>
        </w:rPr>
        <w:t>Policy implications</w:t>
      </w:r>
    </w:p>
    <w:p w14:paraId="417DA740" w14:textId="15F6259B" w:rsidR="006338E5" w:rsidRDefault="006338E5" w:rsidP="008F614E">
      <w:pPr>
        <w:spacing w:after="0" w:line="360" w:lineRule="auto"/>
        <w:jc w:val="both"/>
        <w:rPr>
          <w:rFonts w:cstheme="minorHAnsi"/>
          <w:bCs/>
        </w:rPr>
      </w:pPr>
    </w:p>
    <w:p w14:paraId="723FD521" w14:textId="2BBA32A9" w:rsidR="00A418FB" w:rsidRDefault="00364702" w:rsidP="008F614E">
      <w:pPr>
        <w:spacing w:after="0" w:line="360" w:lineRule="auto"/>
        <w:jc w:val="both"/>
        <w:rPr>
          <w:rFonts w:cstheme="minorHAnsi"/>
          <w:bCs/>
        </w:rPr>
      </w:pPr>
      <w:r>
        <w:rPr>
          <w:rFonts w:cstheme="minorHAnsi"/>
          <w:bCs/>
        </w:rPr>
        <w:t xml:space="preserve">The results of this study have a clear policy implication – that the extent of average overall/ampicillin-resistant </w:t>
      </w:r>
      <w:r w:rsidRPr="00D20281">
        <w:rPr>
          <w:rFonts w:cstheme="minorHAnsi"/>
          <w:bCs/>
          <w:i/>
        </w:rPr>
        <w:t>Salmonella</w:t>
      </w:r>
      <w:r>
        <w:rPr>
          <w:rFonts w:cstheme="minorHAnsi"/>
          <w:bCs/>
        </w:rPr>
        <w:t xml:space="preserve"> spp. </w:t>
      </w:r>
      <w:r w:rsidR="00D20281">
        <w:rPr>
          <w:rFonts w:cstheme="minorHAnsi"/>
          <w:bCs/>
        </w:rPr>
        <w:t>contamination</w:t>
      </w:r>
      <w:r>
        <w:rPr>
          <w:rFonts w:cstheme="minorHAnsi"/>
          <w:bCs/>
        </w:rPr>
        <w:t xml:space="preserve"> </w:t>
      </w:r>
      <w:r w:rsidR="00D20281">
        <w:rPr>
          <w:rFonts w:cstheme="minorHAnsi"/>
          <w:bCs/>
        </w:rPr>
        <w:t xml:space="preserve">should be </w:t>
      </w:r>
      <w:r>
        <w:rPr>
          <w:rFonts w:cstheme="minorHAnsi"/>
          <w:bCs/>
        </w:rPr>
        <w:t>decreased as lo</w:t>
      </w:r>
      <w:r w:rsidR="00D20281">
        <w:rPr>
          <w:rFonts w:cstheme="minorHAnsi"/>
          <w:bCs/>
        </w:rPr>
        <w:t>w as possible if changes to</w:t>
      </w:r>
      <w:r>
        <w:rPr>
          <w:rFonts w:cstheme="minorHAnsi"/>
          <w:bCs/>
        </w:rPr>
        <w:t xml:space="preserve"> </w:t>
      </w:r>
      <w:r w:rsidR="00A35E99">
        <w:rPr>
          <w:rFonts w:cstheme="minorHAnsi"/>
          <w:bCs/>
        </w:rPr>
        <w:t xml:space="preserve">the extent of </w:t>
      </w:r>
      <w:r>
        <w:rPr>
          <w:rFonts w:cstheme="minorHAnsi"/>
          <w:bCs/>
        </w:rPr>
        <w:t xml:space="preserve">importation are </w:t>
      </w:r>
      <w:r w:rsidR="00D20281">
        <w:rPr>
          <w:rFonts w:cstheme="minorHAnsi"/>
          <w:bCs/>
        </w:rPr>
        <w:t>desired</w:t>
      </w:r>
      <w:r>
        <w:rPr>
          <w:rFonts w:cstheme="minorHAnsi"/>
          <w:bCs/>
        </w:rPr>
        <w:t xml:space="preserve">. Or at the very least, reducing </w:t>
      </w:r>
      <w:r w:rsidR="00D20281">
        <w:rPr>
          <w:rFonts w:cstheme="minorHAnsi"/>
          <w:bCs/>
        </w:rPr>
        <w:t>contamination</w:t>
      </w:r>
      <w:r>
        <w:rPr>
          <w:rFonts w:cstheme="minorHAnsi"/>
          <w:bCs/>
        </w:rPr>
        <w:t xml:space="preserve"> to a</w:t>
      </w:r>
      <w:r w:rsidR="00D20281">
        <w:rPr>
          <w:rFonts w:cstheme="minorHAnsi"/>
          <w:bCs/>
        </w:rPr>
        <w:t>n</w:t>
      </w:r>
      <w:r>
        <w:rPr>
          <w:rFonts w:cstheme="minorHAnsi"/>
          <w:bCs/>
        </w:rPr>
        <w:t xml:space="preserve"> </w:t>
      </w:r>
      <w:r w:rsidR="00A35E99">
        <w:rPr>
          <w:rFonts w:cstheme="minorHAnsi"/>
          <w:bCs/>
        </w:rPr>
        <w:t>equal</w:t>
      </w:r>
      <w:r>
        <w:rPr>
          <w:rFonts w:cstheme="minorHAnsi"/>
          <w:bCs/>
        </w:rPr>
        <w:t xml:space="preserve"> level seen on domestic fo</w:t>
      </w:r>
      <w:r w:rsidR="00A35E99">
        <w:rPr>
          <w:rFonts w:cstheme="minorHAnsi"/>
          <w:bCs/>
        </w:rPr>
        <w:t xml:space="preserve">od products to </w:t>
      </w:r>
      <w:r w:rsidR="00D20281">
        <w:rPr>
          <w:rFonts w:cstheme="minorHAnsi"/>
          <w:bCs/>
        </w:rPr>
        <w:t>preserve</w:t>
      </w:r>
      <w:r>
        <w:rPr>
          <w:rFonts w:cstheme="minorHAnsi"/>
          <w:bCs/>
        </w:rPr>
        <w:t xml:space="preserve"> the efficacy of curtailment of local livestock antibiotic stewardship on human health. </w:t>
      </w:r>
      <w:r w:rsidR="005B1B1D">
        <w:rPr>
          <w:rFonts w:cstheme="minorHAnsi"/>
          <w:bCs/>
        </w:rPr>
        <w:t xml:space="preserve">This is </w:t>
      </w:r>
      <w:r w:rsidR="00A35E99">
        <w:rPr>
          <w:rFonts w:cstheme="minorHAnsi"/>
          <w:bCs/>
        </w:rPr>
        <w:t xml:space="preserve">particularly relevant </w:t>
      </w:r>
      <w:r w:rsidR="009F2433">
        <w:rPr>
          <w:rFonts w:cstheme="minorHAnsi"/>
          <w:bCs/>
        </w:rPr>
        <w:t xml:space="preserve">in countries </w:t>
      </w:r>
      <w:r w:rsidR="00A35E99">
        <w:rPr>
          <w:rFonts w:cstheme="minorHAnsi"/>
          <w:bCs/>
        </w:rPr>
        <w:t>such as the UK case study</w:t>
      </w:r>
      <w:r w:rsidR="009F2433">
        <w:rPr>
          <w:rFonts w:cstheme="minorHAnsi"/>
          <w:bCs/>
        </w:rPr>
        <w:t xml:space="preserve">, where the level of </w:t>
      </w:r>
      <w:r w:rsidR="009F2433" w:rsidRPr="00D20281">
        <w:rPr>
          <w:rFonts w:cstheme="minorHAnsi"/>
          <w:bCs/>
          <w:i/>
        </w:rPr>
        <w:t>Salmonella</w:t>
      </w:r>
      <w:r w:rsidR="009F2433">
        <w:rPr>
          <w:rFonts w:cstheme="minorHAnsi"/>
          <w:bCs/>
        </w:rPr>
        <w:t xml:space="preserve"> spp. carcass contamination is </w:t>
      </w:r>
      <w:r w:rsidR="00357800">
        <w:rPr>
          <w:rFonts w:cstheme="minorHAnsi"/>
          <w:bCs/>
        </w:rPr>
        <w:t>already low relative to imports</w:t>
      </w:r>
      <w:r w:rsidR="00A35E99">
        <w:rPr>
          <w:rFonts w:cstheme="minorHAnsi"/>
          <w:bCs/>
        </w:rPr>
        <w:t xml:space="preserve"> (</w:t>
      </w:r>
      <w:r w:rsidR="00F8064F" w:rsidRPr="00F8064F">
        <w:rPr>
          <w:rFonts w:cstheme="minorHAnsi"/>
          <w:b/>
          <w:highlight w:val="yellow"/>
        </w:rPr>
        <w:t>Figure</w:t>
      </w:r>
      <w:r w:rsidR="00A35E99">
        <w:rPr>
          <w:rFonts w:cstheme="minorHAnsi"/>
          <w:bCs/>
        </w:rPr>
        <w:t>)</w:t>
      </w:r>
      <w:r w:rsidR="009F2433">
        <w:rPr>
          <w:rFonts w:cstheme="minorHAnsi"/>
          <w:bCs/>
        </w:rPr>
        <w:t xml:space="preserve">. </w:t>
      </w:r>
      <w:r w:rsidR="00A35E99">
        <w:rPr>
          <w:rFonts w:cstheme="minorHAnsi"/>
          <w:bCs/>
        </w:rPr>
        <w:t xml:space="preserve">The need to understand the balance of contamination/resistance between imports and domestic food products </w:t>
      </w:r>
      <w:r w:rsidR="00C42765">
        <w:rPr>
          <w:rFonts w:cstheme="minorHAnsi"/>
          <w:bCs/>
        </w:rPr>
        <w:t>highlights the</w:t>
      </w:r>
      <w:r w:rsidR="00357800">
        <w:rPr>
          <w:rFonts w:cstheme="minorHAnsi"/>
          <w:bCs/>
        </w:rPr>
        <w:t xml:space="preserve"> critical</w:t>
      </w:r>
      <w:r w:rsidR="00C42765">
        <w:rPr>
          <w:rFonts w:cstheme="minorHAnsi"/>
          <w:bCs/>
        </w:rPr>
        <w:t xml:space="preserve"> need for foodborne pathogen/AMR surveillance at the origin of import, the point of entry and also within domestic livestock (</w:t>
      </w:r>
      <w:r w:rsidR="00C42765" w:rsidRPr="00C42765">
        <w:rPr>
          <w:rFonts w:cstheme="minorHAnsi"/>
          <w:b/>
          <w:bCs/>
          <w:highlight w:val="yellow"/>
        </w:rPr>
        <w:t>cite</w:t>
      </w:r>
      <w:r w:rsidR="00C42765">
        <w:rPr>
          <w:rFonts w:cstheme="minorHAnsi"/>
          <w:bCs/>
        </w:rPr>
        <w:t xml:space="preserve">). </w:t>
      </w:r>
    </w:p>
    <w:p w14:paraId="58EBA37E" w14:textId="7CB695BE" w:rsidR="00A418FB" w:rsidRDefault="00A418FB" w:rsidP="008F614E">
      <w:pPr>
        <w:spacing w:after="0" w:line="360" w:lineRule="auto"/>
        <w:jc w:val="both"/>
        <w:rPr>
          <w:rFonts w:cstheme="minorHAnsi"/>
          <w:bCs/>
        </w:rPr>
      </w:pPr>
    </w:p>
    <w:p w14:paraId="7F99F898" w14:textId="323A2A7A" w:rsidR="00357800" w:rsidRDefault="00C42765" w:rsidP="008F614E">
      <w:pPr>
        <w:spacing w:after="0" w:line="360" w:lineRule="auto"/>
        <w:jc w:val="both"/>
        <w:rPr>
          <w:rFonts w:cstheme="minorHAnsi"/>
          <w:bCs/>
        </w:rPr>
      </w:pPr>
      <w:r>
        <w:rPr>
          <w:rFonts w:cstheme="minorHAnsi"/>
          <w:bCs/>
        </w:rPr>
        <w:t xml:space="preserve">Examples of surveillance at the point of origin include EU </w:t>
      </w:r>
      <w:r w:rsidR="00B23F67">
        <w:rPr>
          <w:rFonts w:cstheme="minorHAnsi"/>
          <w:bCs/>
        </w:rPr>
        <w:t>requirements for so-called “third-country” importing organisations not within the EU framework to meet EU food safety requirements and submit to inspection by FVO officers</w:t>
      </w:r>
      <w:r w:rsidR="00BD7B5D">
        <w:rPr>
          <w:rFonts w:cstheme="minorHAnsi"/>
          <w:bCs/>
        </w:rPr>
        <w:t xml:space="preserve"> (</w:t>
      </w:r>
      <w:hyperlink r:id="rId16" w:history="1">
        <w:r w:rsidR="00BD7B5D">
          <w:rPr>
            <w:rStyle w:val="Hyperlink"/>
          </w:rPr>
          <w:t>Third country approval guidelines (europa.eu)</w:t>
        </w:r>
      </w:hyperlink>
      <w:r w:rsidR="00BD7B5D">
        <w:rPr>
          <w:rFonts w:cstheme="minorHAnsi"/>
          <w:bCs/>
        </w:rPr>
        <w:t>)</w:t>
      </w:r>
      <w:r w:rsidR="00B23F67">
        <w:rPr>
          <w:rFonts w:cstheme="minorHAnsi"/>
          <w:bCs/>
        </w:rPr>
        <w:t xml:space="preserve">. </w:t>
      </w:r>
      <w:r w:rsidR="00A233DB">
        <w:rPr>
          <w:rFonts w:cstheme="minorHAnsi"/>
          <w:bCs/>
        </w:rPr>
        <w:t>Stri</w:t>
      </w:r>
      <w:r w:rsidR="00BD7B5D">
        <w:rPr>
          <w:rFonts w:cstheme="minorHAnsi"/>
          <w:bCs/>
        </w:rPr>
        <w:t xml:space="preserve">ngent inspection at border control </w:t>
      </w:r>
      <w:r w:rsidR="00A233DB">
        <w:rPr>
          <w:rFonts w:cstheme="minorHAnsi"/>
          <w:bCs/>
        </w:rPr>
        <w:t xml:space="preserve">posts at the point of </w:t>
      </w:r>
      <w:r w:rsidR="00357800">
        <w:rPr>
          <w:rFonts w:cstheme="minorHAnsi"/>
          <w:bCs/>
        </w:rPr>
        <w:t>import</w:t>
      </w:r>
      <w:r w:rsidR="00A233DB">
        <w:rPr>
          <w:rFonts w:cstheme="minorHAnsi"/>
          <w:bCs/>
        </w:rPr>
        <w:t xml:space="preserve"> has also been widely recognised as a standardised method to reduce consumer exposure to </w:t>
      </w:r>
      <w:r w:rsidR="00357800">
        <w:rPr>
          <w:rFonts w:cstheme="minorHAnsi"/>
          <w:bCs/>
        </w:rPr>
        <w:t>contamination</w:t>
      </w:r>
      <w:r w:rsidR="00A233DB">
        <w:rPr>
          <w:rFonts w:cstheme="minorHAnsi"/>
          <w:bCs/>
        </w:rPr>
        <w:t xml:space="preserve"> on imports</w:t>
      </w:r>
      <w:r w:rsidR="00657853">
        <w:rPr>
          <w:rFonts w:cstheme="minorHAnsi"/>
          <w:bCs/>
        </w:rPr>
        <w:t xml:space="preserve"> (</w:t>
      </w:r>
      <w:r w:rsidR="00657853" w:rsidRPr="00C42765">
        <w:rPr>
          <w:rFonts w:cstheme="minorHAnsi"/>
          <w:b/>
          <w:bCs/>
          <w:highlight w:val="yellow"/>
        </w:rPr>
        <w:t>cite</w:t>
      </w:r>
      <w:r w:rsidR="00657853">
        <w:rPr>
          <w:rFonts w:cstheme="minorHAnsi"/>
          <w:bCs/>
        </w:rPr>
        <w:t>)</w:t>
      </w:r>
      <w:r w:rsidR="00A233DB">
        <w:rPr>
          <w:rFonts w:cstheme="minorHAnsi"/>
          <w:bCs/>
        </w:rPr>
        <w:t xml:space="preserve">. </w:t>
      </w:r>
      <w:r w:rsidR="000E2ED6">
        <w:rPr>
          <w:rFonts w:cstheme="minorHAnsi"/>
          <w:bCs/>
        </w:rPr>
        <w:t xml:space="preserve">Harmonised </w:t>
      </w:r>
      <w:r w:rsidR="000E2ED6">
        <w:rPr>
          <w:rFonts w:cstheme="minorHAnsi"/>
          <w:bCs/>
        </w:rPr>
        <w:lastRenderedPageBreak/>
        <w:t xml:space="preserve">systems such as the RASFF has </w:t>
      </w:r>
      <w:r w:rsidR="00657853">
        <w:rPr>
          <w:rFonts w:cstheme="minorHAnsi"/>
          <w:bCs/>
        </w:rPr>
        <w:t xml:space="preserve">also </w:t>
      </w:r>
      <w:r w:rsidR="000E2ED6">
        <w:rPr>
          <w:rFonts w:cstheme="minorHAnsi"/>
          <w:bCs/>
        </w:rPr>
        <w:t xml:space="preserve">been shown as effective as spreading the burden of BCP checks across multiple countries, with identification of </w:t>
      </w:r>
      <w:r w:rsidR="00357800">
        <w:rPr>
          <w:rFonts w:cstheme="minorHAnsi"/>
          <w:bCs/>
        </w:rPr>
        <w:t>contaminants</w:t>
      </w:r>
      <w:r w:rsidR="000E2ED6">
        <w:rPr>
          <w:rFonts w:cstheme="minorHAnsi"/>
          <w:bCs/>
        </w:rPr>
        <w:t xml:space="preserve"> and sources of single/multi-country </w:t>
      </w:r>
      <w:r w:rsidR="00357800">
        <w:rPr>
          <w:rFonts w:cstheme="minorHAnsi"/>
          <w:bCs/>
        </w:rPr>
        <w:t xml:space="preserve">foodborne pathogen </w:t>
      </w:r>
      <w:r w:rsidR="000E2ED6">
        <w:rPr>
          <w:rFonts w:cstheme="minorHAnsi"/>
          <w:bCs/>
        </w:rPr>
        <w:t>outbreaks</w:t>
      </w:r>
      <w:r w:rsidR="00657853">
        <w:rPr>
          <w:rFonts w:cstheme="minorHAnsi"/>
          <w:bCs/>
        </w:rPr>
        <w:t xml:space="preserve"> in one country, rapidly</w:t>
      </w:r>
      <w:r w:rsidR="000E2ED6">
        <w:rPr>
          <w:rFonts w:cstheme="minorHAnsi"/>
          <w:bCs/>
        </w:rPr>
        <w:t xml:space="preserve"> </w:t>
      </w:r>
      <w:r w:rsidR="00357800">
        <w:rPr>
          <w:rFonts w:cstheme="minorHAnsi"/>
          <w:bCs/>
        </w:rPr>
        <w:t xml:space="preserve">sent as an </w:t>
      </w:r>
      <w:r w:rsidR="00657853">
        <w:rPr>
          <w:rFonts w:cstheme="minorHAnsi"/>
          <w:bCs/>
        </w:rPr>
        <w:t>alert to all RASFF-participants</w:t>
      </w:r>
      <w:r w:rsidR="00F8064F">
        <w:rPr>
          <w:rFonts w:cstheme="minorHAnsi"/>
          <w:bCs/>
        </w:rPr>
        <w:t xml:space="preserve"> </w:t>
      </w:r>
      <w:r w:rsidR="00F8064F">
        <w:rPr>
          <w:rFonts w:cstheme="minorHAnsi"/>
          <w:bCs/>
        </w:rPr>
        <w:t>(</w:t>
      </w:r>
      <w:r w:rsidR="00F8064F" w:rsidRPr="00357800">
        <w:rPr>
          <w:rFonts w:cstheme="minorHAnsi"/>
          <w:b/>
          <w:bCs/>
          <w:highlight w:val="yellow"/>
        </w:rPr>
        <w:t>cite</w:t>
      </w:r>
      <w:r w:rsidR="00F8064F">
        <w:rPr>
          <w:rFonts w:cstheme="minorHAnsi"/>
          <w:bCs/>
        </w:rPr>
        <w:t>)</w:t>
      </w:r>
      <w:r w:rsidR="00357800">
        <w:rPr>
          <w:rFonts w:cstheme="minorHAnsi"/>
          <w:bCs/>
        </w:rPr>
        <w:t xml:space="preserve">. Policy to reduce import contamination can also be introduced at a macro-scale, controlling which countries to form </w:t>
      </w:r>
      <w:r w:rsidR="00F8064F">
        <w:rPr>
          <w:rFonts w:cstheme="minorHAnsi"/>
          <w:bCs/>
        </w:rPr>
        <w:t>import-based</w:t>
      </w:r>
      <w:r w:rsidR="00357800">
        <w:rPr>
          <w:rFonts w:cstheme="minorHAnsi"/>
          <w:bCs/>
        </w:rPr>
        <w:t xml:space="preserve"> trade connections with based on the extent of contamination on food products. The clearest example of this includes EU differentiation of food product “trade” between member states and “imports/introductions” from non-member state “third countries” with a higher amount of regulation and inspection placed on trade from the latter (</w:t>
      </w:r>
      <w:r w:rsidR="00357800" w:rsidRPr="00357800">
        <w:rPr>
          <w:rFonts w:cstheme="minorHAnsi"/>
          <w:b/>
          <w:bCs/>
          <w:highlight w:val="yellow"/>
        </w:rPr>
        <w:t>cite</w:t>
      </w:r>
      <w:r w:rsidR="00357800">
        <w:rPr>
          <w:rFonts w:cstheme="minorHAnsi"/>
          <w:bCs/>
        </w:rPr>
        <w:t xml:space="preserve">). </w:t>
      </w:r>
      <w:r w:rsidR="00657853">
        <w:rPr>
          <w:rFonts w:cstheme="minorHAnsi"/>
          <w:bCs/>
        </w:rPr>
        <w:t>Adherence</w:t>
      </w:r>
      <w:r w:rsidR="00357800">
        <w:rPr>
          <w:rFonts w:cstheme="minorHAnsi"/>
          <w:bCs/>
        </w:rPr>
        <w:t xml:space="preserve"> </w:t>
      </w:r>
      <w:r w:rsidR="00657853">
        <w:rPr>
          <w:rFonts w:cstheme="minorHAnsi"/>
          <w:bCs/>
        </w:rPr>
        <w:t xml:space="preserve">to these measures can ensure that contamination can be kept at low levels to avoid potential decreases to the efficacy of curtailment following changes in food importation. </w:t>
      </w:r>
    </w:p>
    <w:p w14:paraId="7C7C6461" w14:textId="62A76036" w:rsidR="00666796" w:rsidRPr="00666796" w:rsidRDefault="00666796" w:rsidP="00666796">
      <w:pPr>
        <w:pStyle w:val="ListParagraph"/>
        <w:numPr>
          <w:ilvl w:val="0"/>
          <w:numId w:val="30"/>
        </w:numPr>
        <w:spacing w:after="0" w:line="360" w:lineRule="auto"/>
        <w:jc w:val="both"/>
        <w:rPr>
          <w:rFonts w:cstheme="minorHAnsi"/>
          <w:bCs/>
        </w:rPr>
      </w:pPr>
      <w:r>
        <w:rPr>
          <w:rFonts w:cstheme="minorHAnsi"/>
          <w:bCs/>
        </w:rPr>
        <w:t>Maybe relate this more to the study – how this will push down contamination or help us better understand the balance between imported and domestic contaminants</w:t>
      </w:r>
    </w:p>
    <w:p w14:paraId="2939D10D" w14:textId="77777777" w:rsidR="00657853" w:rsidRDefault="00657853" w:rsidP="008F614E">
      <w:pPr>
        <w:spacing w:after="0" w:line="360" w:lineRule="auto"/>
        <w:jc w:val="both"/>
        <w:rPr>
          <w:rFonts w:cstheme="minorHAnsi"/>
          <w:bCs/>
        </w:rPr>
      </w:pPr>
    </w:p>
    <w:p w14:paraId="3C6CA438" w14:textId="2517BE95" w:rsidR="00B8081E" w:rsidRDefault="00357800" w:rsidP="00F8064F">
      <w:pPr>
        <w:spacing w:after="0" w:line="360" w:lineRule="auto"/>
        <w:jc w:val="both"/>
        <w:rPr>
          <w:rFonts w:cstheme="minorHAnsi"/>
          <w:bCs/>
        </w:rPr>
      </w:pPr>
      <w:r>
        <w:rPr>
          <w:rFonts w:cstheme="minorHAnsi"/>
          <w:bCs/>
        </w:rPr>
        <w:t xml:space="preserve">However, </w:t>
      </w:r>
      <w:r w:rsidRPr="00357800">
        <w:rPr>
          <w:rFonts w:cstheme="minorHAnsi"/>
          <w:bCs/>
        </w:rPr>
        <w:t xml:space="preserve">BCP checks are often limited to occasional physical checks, with a compromise existing between ensuring rapid transit into the importing country and the use </w:t>
      </w:r>
      <w:r w:rsidR="00F8064F">
        <w:rPr>
          <w:rFonts w:cstheme="minorHAnsi"/>
          <w:bCs/>
        </w:rPr>
        <w:t xml:space="preserve">of </w:t>
      </w:r>
      <w:r w:rsidRPr="00357800">
        <w:rPr>
          <w:rFonts w:cstheme="minorHAnsi"/>
          <w:bCs/>
        </w:rPr>
        <w:t>labour intensive/costly sampling and testing to thoroughly identify microbial contaminants</w:t>
      </w:r>
      <w:r w:rsidR="00B8081E">
        <w:rPr>
          <w:rFonts w:cstheme="minorHAnsi"/>
          <w:bCs/>
        </w:rPr>
        <w:t xml:space="preserve"> </w:t>
      </w:r>
      <w:r w:rsidR="00B8081E">
        <w:rPr>
          <w:rFonts w:cstheme="minorHAnsi"/>
          <w:bCs/>
        </w:rPr>
        <w:t>(</w:t>
      </w:r>
      <w:hyperlink r:id="rId17" w:history="1">
        <w:r w:rsidR="00B8081E">
          <w:rPr>
            <w:rStyle w:val="Hyperlink"/>
          </w:rPr>
          <w:t>FDA Strategy for the Safety of Imported Food</w:t>
        </w:r>
      </w:hyperlink>
      <w:r w:rsidR="00B8081E">
        <w:rPr>
          <w:rFonts w:cstheme="minorHAnsi"/>
          <w:bCs/>
        </w:rPr>
        <w:t>)</w:t>
      </w:r>
      <w:r w:rsidR="00B8081E">
        <w:rPr>
          <w:rFonts w:cstheme="minorHAnsi"/>
          <w:bCs/>
        </w:rPr>
        <w:t xml:space="preserve"> (</w:t>
      </w:r>
      <w:r w:rsidR="00B8081E" w:rsidRPr="00B8081E">
        <w:rPr>
          <w:rFonts w:cstheme="minorHAnsi"/>
          <w:b/>
          <w:highlight w:val="yellow"/>
        </w:rPr>
        <w:t>cite</w:t>
      </w:r>
      <w:r w:rsidR="00B8081E">
        <w:rPr>
          <w:rFonts w:cstheme="minorHAnsi"/>
          <w:bCs/>
        </w:rPr>
        <w:t>)</w:t>
      </w:r>
      <w:r w:rsidR="00F8064F">
        <w:rPr>
          <w:rFonts w:cstheme="minorHAnsi"/>
          <w:bCs/>
        </w:rPr>
        <w:t xml:space="preserve">. </w:t>
      </w:r>
      <w:r w:rsidR="00B8081E">
        <w:rPr>
          <w:rFonts w:cstheme="minorHAnsi"/>
          <w:bCs/>
        </w:rPr>
        <w:t xml:space="preserve">Additionally, the general state of AMR surveillance in livestock is poor, with a lack of in-depth high quality, harmonised surveillance systems across the world </w:t>
      </w:r>
      <w:r w:rsidR="00B8081E">
        <w:rPr>
          <w:rFonts w:cstheme="minorHAnsi"/>
          <w:bCs/>
        </w:rPr>
        <w:t>(</w:t>
      </w:r>
      <w:r w:rsidR="00B8081E" w:rsidRPr="00B8081E">
        <w:rPr>
          <w:rFonts w:cstheme="minorHAnsi"/>
          <w:b/>
          <w:highlight w:val="yellow"/>
        </w:rPr>
        <w:t>cite</w:t>
      </w:r>
      <w:r w:rsidR="00B8081E">
        <w:rPr>
          <w:rFonts w:cstheme="minorHAnsi"/>
          <w:bCs/>
        </w:rPr>
        <w:t>)</w:t>
      </w:r>
      <w:r w:rsidR="00B8081E">
        <w:rPr>
          <w:rFonts w:cstheme="minorHAnsi"/>
          <w:bCs/>
        </w:rPr>
        <w:t xml:space="preserve">. The use of rapid sequencing technology at BCPs could provide a rich source of valuable future information. If this data was harmonised across participating countries, then this information would provide a rich source of surveillance to both understand the potential balance between domestic and import surveillance and to also provide data to better understand the dissemination of AMR in genomic and modelling analysis and for use in source attribution studies </w:t>
      </w:r>
      <w:r w:rsidR="00B8081E">
        <w:rPr>
          <w:rFonts w:cstheme="minorHAnsi"/>
          <w:bCs/>
        </w:rPr>
        <w:t>(</w:t>
      </w:r>
      <w:r w:rsidR="00B8081E" w:rsidRPr="00B8081E">
        <w:rPr>
          <w:rFonts w:cstheme="minorHAnsi"/>
          <w:b/>
          <w:highlight w:val="yellow"/>
        </w:rPr>
        <w:t>cite</w:t>
      </w:r>
      <w:r w:rsidR="00B8081E">
        <w:rPr>
          <w:rFonts w:cstheme="minorHAnsi"/>
          <w:bCs/>
        </w:rPr>
        <w:t>)</w:t>
      </w:r>
      <w:r w:rsidR="00B8081E">
        <w:rPr>
          <w:rFonts w:cstheme="minorHAnsi"/>
          <w:bCs/>
        </w:rPr>
        <w:t xml:space="preserve">.  </w:t>
      </w:r>
    </w:p>
    <w:p w14:paraId="136CFE00" w14:textId="21F7F871" w:rsidR="00666796" w:rsidRPr="00666796" w:rsidRDefault="00666796" w:rsidP="00666796">
      <w:pPr>
        <w:pStyle w:val="ListParagraph"/>
        <w:numPr>
          <w:ilvl w:val="0"/>
          <w:numId w:val="30"/>
        </w:numPr>
        <w:spacing w:after="0" w:line="360" w:lineRule="auto"/>
        <w:jc w:val="both"/>
        <w:rPr>
          <w:rFonts w:cstheme="minorHAnsi"/>
          <w:bCs/>
        </w:rPr>
      </w:pPr>
      <w:r>
        <w:rPr>
          <w:rFonts w:cstheme="minorHAnsi"/>
          <w:bCs/>
        </w:rPr>
        <w:t>Maybe relate this more to the study –</w:t>
      </w:r>
      <w:r>
        <w:rPr>
          <w:rFonts w:cstheme="minorHAnsi"/>
          <w:bCs/>
        </w:rPr>
        <w:t xml:space="preserve"> how this will </w:t>
      </w:r>
      <w:r>
        <w:rPr>
          <w:rFonts w:cstheme="minorHAnsi"/>
          <w:bCs/>
        </w:rPr>
        <w:t>help us better understand the balance between imported and domestic contaminants</w:t>
      </w:r>
      <w:r>
        <w:rPr>
          <w:rFonts w:cstheme="minorHAnsi"/>
          <w:bCs/>
        </w:rPr>
        <w:t xml:space="preserve"> (more focus on this?) </w:t>
      </w:r>
    </w:p>
    <w:p w14:paraId="6610AF2D" w14:textId="703DD6DB" w:rsidR="00D51170" w:rsidRDefault="00D51170" w:rsidP="00D51170">
      <w:pPr>
        <w:spacing w:after="0" w:line="360" w:lineRule="auto"/>
        <w:rPr>
          <w:bCs/>
        </w:rPr>
      </w:pPr>
    </w:p>
    <w:p w14:paraId="3CE903DF" w14:textId="5EC9D5DB" w:rsidR="00D51170" w:rsidRPr="005C008A" w:rsidRDefault="00D51170" w:rsidP="00D51170">
      <w:pPr>
        <w:spacing w:after="0" w:line="360" w:lineRule="auto"/>
        <w:rPr>
          <w:b/>
          <w:bCs/>
        </w:rPr>
      </w:pPr>
      <w:r w:rsidRPr="005C008A">
        <w:rPr>
          <w:b/>
          <w:bCs/>
        </w:rPr>
        <w:t>Why we used the</w:t>
      </w:r>
      <w:r w:rsidR="006565A9" w:rsidRPr="005C008A">
        <w:rPr>
          <w:b/>
          <w:bCs/>
        </w:rPr>
        <w:t xml:space="preserve"> case </w:t>
      </w:r>
      <w:r w:rsidR="005C008A" w:rsidRPr="005C008A">
        <w:rPr>
          <w:b/>
          <w:bCs/>
        </w:rPr>
        <w:t>study?</w:t>
      </w:r>
    </w:p>
    <w:p w14:paraId="1B53E023" w14:textId="5745C892" w:rsidR="006565A9" w:rsidRDefault="006565A9" w:rsidP="006565A9">
      <w:pPr>
        <w:pStyle w:val="ListParagraph"/>
        <w:numPr>
          <w:ilvl w:val="0"/>
          <w:numId w:val="18"/>
        </w:numPr>
        <w:spacing w:after="0" w:line="360" w:lineRule="auto"/>
        <w:rPr>
          <w:bCs/>
        </w:rPr>
      </w:pPr>
      <w:r>
        <w:rPr>
          <w:bCs/>
        </w:rPr>
        <w:t xml:space="preserve">Would it look different with another </w:t>
      </w:r>
      <w:proofErr w:type="spellStart"/>
      <w:r>
        <w:rPr>
          <w:bCs/>
        </w:rPr>
        <w:t>resistabnce</w:t>
      </w:r>
      <w:proofErr w:type="spellEnd"/>
    </w:p>
    <w:p w14:paraId="2B2C65A7" w14:textId="042C6C92" w:rsidR="006565A9" w:rsidRDefault="006565A9" w:rsidP="006565A9">
      <w:pPr>
        <w:pStyle w:val="ListParagraph"/>
        <w:numPr>
          <w:ilvl w:val="0"/>
          <w:numId w:val="18"/>
        </w:numPr>
        <w:spacing w:after="0" w:line="360" w:lineRule="auto"/>
        <w:rPr>
          <w:bCs/>
        </w:rPr>
      </w:pPr>
      <w:r>
        <w:rPr>
          <w:bCs/>
        </w:rPr>
        <w:t>Would it look different with another foodborne disease or other pathogen</w:t>
      </w:r>
      <w:r w:rsidR="006338E5">
        <w:rPr>
          <w:bCs/>
        </w:rPr>
        <w:t xml:space="preserve"> – extrapolate to less shit case studies </w:t>
      </w:r>
    </w:p>
    <w:p w14:paraId="374DD7B5" w14:textId="2878324D" w:rsidR="006338E5" w:rsidRDefault="006338E5" w:rsidP="006338E5">
      <w:pPr>
        <w:pStyle w:val="ListParagraph"/>
        <w:numPr>
          <w:ilvl w:val="1"/>
          <w:numId w:val="18"/>
        </w:numPr>
        <w:spacing w:after="0" w:line="360" w:lineRule="auto"/>
        <w:rPr>
          <w:bCs/>
        </w:rPr>
      </w:pPr>
      <w:r>
        <w:rPr>
          <w:bCs/>
        </w:rPr>
        <w:t xml:space="preserve">Salmonella and foodborne pathogens are likely an unusual case study with global food </w:t>
      </w:r>
      <w:proofErr w:type="spellStart"/>
      <w:r>
        <w:rPr>
          <w:bCs/>
        </w:rPr>
        <w:t>tradfe</w:t>
      </w:r>
      <w:proofErr w:type="spellEnd"/>
      <w:r>
        <w:rPr>
          <w:bCs/>
        </w:rPr>
        <w:t xml:space="preserve"> really obviously affecting this pathogen. </w:t>
      </w:r>
    </w:p>
    <w:p w14:paraId="38727120" w14:textId="36853B25" w:rsidR="006565A9" w:rsidRDefault="006565A9" w:rsidP="006565A9">
      <w:pPr>
        <w:pStyle w:val="ListParagraph"/>
        <w:numPr>
          <w:ilvl w:val="0"/>
          <w:numId w:val="18"/>
        </w:numPr>
        <w:spacing w:after="0" w:line="360" w:lineRule="auto"/>
        <w:rPr>
          <w:bCs/>
        </w:rPr>
      </w:pPr>
      <w:r>
        <w:rPr>
          <w:bCs/>
        </w:rPr>
        <w:t xml:space="preserve">Would it look different with another livestock species </w:t>
      </w:r>
    </w:p>
    <w:p w14:paraId="303AD6AE" w14:textId="3F2F26A4" w:rsidR="006565A9" w:rsidRPr="006565A9" w:rsidRDefault="006565A9" w:rsidP="006565A9">
      <w:pPr>
        <w:pStyle w:val="ListParagraph"/>
        <w:numPr>
          <w:ilvl w:val="0"/>
          <w:numId w:val="18"/>
        </w:numPr>
        <w:spacing w:after="0" w:line="360" w:lineRule="auto"/>
        <w:rPr>
          <w:bCs/>
        </w:rPr>
      </w:pPr>
      <w:r>
        <w:rPr>
          <w:bCs/>
        </w:rPr>
        <w:lastRenderedPageBreak/>
        <w:t xml:space="preserve">Would it look different with another case study – like with a country with high levels of domestic contamination and resistance </w:t>
      </w:r>
      <w:r w:rsidR="00C61527">
        <w:rPr>
          <w:bCs/>
        </w:rPr>
        <w:t xml:space="preserve">– refer to the uncertainty analysis in the first part – which shows that as the import </w:t>
      </w:r>
      <w:proofErr w:type="gramStart"/>
      <w:r w:rsidR="00C61527">
        <w:rPr>
          <w:bCs/>
        </w:rPr>
        <w:t>decreases</w:t>
      </w:r>
      <w:proofErr w:type="gramEnd"/>
      <w:r w:rsidR="00C61527">
        <w:rPr>
          <w:bCs/>
        </w:rPr>
        <w:t xml:space="preserve"> or the level of contamination is worse – then the efficacy of curtailment will actually increase – but this would also result in a higher level of resistance and </w:t>
      </w:r>
      <w:proofErr w:type="spellStart"/>
      <w:r w:rsidR="00C61527">
        <w:rPr>
          <w:bCs/>
        </w:rPr>
        <w:t>foodborene</w:t>
      </w:r>
      <w:proofErr w:type="spellEnd"/>
      <w:r w:rsidR="00C61527">
        <w:rPr>
          <w:bCs/>
        </w:rPr>
        <w:t xml:space="preserve"> disease (more </w:t>
      </w:r>
      <w:proofErr w:type="spellStart"/>
      <w:r w:rsidR="00C61527">
        <w:rPr>
          <w:bCs/>
        </w:rPr>
        <w:t>attribable</w:t>
      </w:r>
      <w:proofErr w:type="spellEnd"/>
      <w:r w:rsidR="00C61527">
        <w:rPr>
          <w:bCs/>
        </w:rPr>
        <w:t xml:space="preserve"> to domestic sources – double edged sword). </w:t>
      </w:r>
    </w:p>
    <w:p w14:paraId="6EEE3AFF" w14:textId="77777777" w:rsidR="00D51170" w:rsidRDefault="00D51170" w:rsidP="00D51170">
      <w:pPr>
        <w:spacing w:after="0" w:line="360" w:lineRule="auto"/>
        <w:rPr>
          <w:bCs/>
        </w:rPr>
      </w:pPr>
    </w:p>
    <w:p w14:paraId="1DEF73D5" w14:textId="4102DC9F" w:rsidR="00D51170" w:rsidRDefault="00D51170" w:rsidP="00D51170">
      <w:pPr>
        <w:spacing w:after="0" w:line="360" w:lineRule="auto"/>
        <w:rPr>
          <w:b/>
          <w:bCs/>
        </w:rPr>
      </w:pPr>
      <w:r w:rsidRPr="005C008A">
        <w:rPr>
          <w:b/>
          <w:bCs/>
        </w:rPr>
        <w:t xml:space="preserve">Study limitations </w:t>
      </w:r>
    </w:p>
    <w:p w14:paraId="03E05651" w14:textId="5799D770" w:rsidR="004643C2" w:rsidRDefault="00666796" w:rsidP="00D51170">
      <w:pPr>
        <w:spacing w:after="0" w:line="360" w:lineRule="auto"/>
      </w:pPr>
      <w:r>
        <w:t>It is important to note that there was an inability to validate the</w:t>
      </w:r>
      <w:r w:rsidR="00722872">
        <w:t xml:space="preserve"> fraction of overall/ampicillin-resistant </w:t>
      </w:r>
      <w:r w:rsidR="004643C2">
        <w:t xml:space="preserve">Salmonella spp. attributable to each importing country. Data is available from source attribution studies assessing the </w:t>
      </w:r>
      <w:proofErr w:type="spellStart"/>
      <w:r w:rsidR="004643C2">
        <w:t>attrituable</w:t>
      </w:r>
      <w:proofErr w:type="spellEnd"/>
      <w:r w:rsidR="004643C2">
        <w:t xml:space="preserve"> source of Salmonella and … in … (which country).</w:t>
      </w:r>
    </w:p>
    <w:p w14:paraId="7672A0E8" w14:textId="77777777" w:rsidR="004643C2" w:rsidRDefault="004643C2" w:rsidP="00D51170">
      <w:pPr>
        <w:spacing w:after="0" w:line="360" w:lineRule="auto"/>
      </w:pPr>
    </w:p>
    <w:p w14:paraId="25D683E0" w14:textId="0B317BB5" w:rsidR="00666796" w:rsidRDefault="004643C2" w:rsidP="00D51170">
      <w:pPr>
        <w:spacing w:after="0" w:line="360" w:lineRule="auto"/>
      </w:pPr>
      <w:r>
        <w:t xml:space="preserve">. However, there is a lack of suitable data to validate the UK-specific case study and there is additionally a lack of data on the attribution of AMR to different importing countries and sources. </w:t>
      </w:r>
    </w:p>
    <w:p w14:paraId="04FB7D61" w14:textId="3F05A172" w:rsidR="004643C2" w:rsidRDefault="004643C2" w:rsidP="00D51170">
      <w:pPr>
        <w:spacing w:after="0" w:line="360" w:lineRule="auto"/>
      </w:pPr>
    </w:p>
    <w:p w14:paraId="7771B3B9" w14:textId="6D0DF97B" w:rsidR="00D51170" w:rsidRDefault="00D51170" w:rsidP="00D51170">
      <w:pPr>
        <w:pStyle w:val="ListParagraph"/>
        <w:numPr>
          <w:ilvl w:val="0"/>
          <w:numId w:val="18"/>
        </w:numPr>
        <w:spacing w:after="0" w:line="360" w:lineRule="auto"/>
        <w:rPr>
          <w:bCs/>
        </w:rPr>
      </w:pPr>
      <w:r>
        <w:rPr>
          <w:bCs/>
        </w:rPr>
        <w:t xml:space="preserve">Definitely </w:t>
      </w:r>
      <w:r w:rsidR="006565A9">
        <w:rPr>
          <w:bCs/>
        </w:rPr>
        <w:t xml:space="preserve">need to talk about how there’s a balance between the four outcome measures and the overall relationship between usage and resistance – </w:t>
      </w:r>
      <w:proofErr w:type="gramStart"/>
      <w:r w:rsidR="006565A9">
        <w:rPr>
          <w:bCs/>
        </w:rPr>
        <w:t>maybe  another</w:t>
      </w:r>
      <w:proofErr w:type="gramEnd"/>
      <w:r w:rsidR="006565A9">
        <w:rPr>
          <w:bCs/>
        </w:rPr>
        <w:t xml:space="preserve"> </w:t>
      </w:r>
      <w:proofErr w:type="spellStart"/>
      <w:r w:rsidR="006565A9">
        <w:rPr>
          <w:bCs/>
        </w:rPr>
        <w:t>rmodel</w:t>
      </w:r>
      <w:proofErr w:type="spellEnd"/>
      <w:r w:rsidR="006565A9">
        <w:rPr>
          <w:bCs/>
        </w:rPr>
        <w:t xml:space="preserve"> structure would be able to allow for a </w:t>
      </w:r>
      <w:proofErr w:type="spellStart"/>
      <w:r w:rsidR="006565A9">
        <w:rPr>
          <w:bCs/>
        </w:rPr>
        <w:t>btter</w:t>
      </w:r>
      <w:proofErr w:type="spellEnd"/>
      <w:r w:rsidR="006565A9">
        <w:rPr>
          <w:bCs/>
        </w:rPr>
        <w:t xml:space="preserve"> model fit </w:t>
      </w:r>
    </w:p>
    <w:p w14:paraId="4C28E59C" w14:textId="4B2CE7F1" w:rsidR="003F0E81" w:rsidRDefault="003F0E81" w:rsidP="00D51170">
      <w:pPr>
        <w:pStyle w:val="ListParagraph"/>
        <w:numPr>
          <w:ilvl w:val="0"/>
          <w:numId w:val="18"/>
        </w:numPr>
        <w:spacing w:after="0" w:line="360" w:lineRule="auto"/>
        <w:rPr>
          <w:bCs/>
        </w:rPr>
      </w:pPr>
      <w:r>
        <w:rPr>
          <w:bCs/>
        </w:rPr>
        <w:t xml:space="preserve">Data limitations with the case studies – why ampicillin, </w:t>
      </w:r>
      <w:proofErr w:type="spellStart"/>
      <w:r>
        <w:rPr>
          <w:bCs/>
        </w:rPr>
        <w:t>fattenings</w:t>
      </w:r>
      <w:proofErr w:type="spellEnd"/>
      <w:r>
        <w:rPr>
          <w:bCs/>
        </w:rPr>
        <w:t xml:space="preserve"> pigs and the UK might not be presentative enough </w:t>
      </w:r>
    </w:p>
    <w:p w14:paraId="14CAE8FD" w14:textId="2AD729C8" w:rsidR="007051A5" w:rsidRDefault="007051A5" w:rsidP="00D51170">
      <w:pPr>
        <w:pStyle w:val="ListParagraph"/>
        <w:numPr>
          <w:ilvl w:val="0"/>
          <w:numId w:val="18"/>
        </w:numPr>
        <w:spacing w:after="0" w:line="360" w:lineRule="auto"/>
        <w:rPr>
          <w:bCs/>
        </w:rPr>
      </w:pPr>
      <w:r>
        <w:rPr>
          <w:bCs/>
        </w:rPr>
        <w:t xml:space="preserve">Carcasses are used as proxies for food products </w:t>
      </w:r>
      <w:r w:rsidR="001E0213">
        <w:rPr>
          <w:bCs/>
        </w:rPr>
        <w:t xml:space="preserve">– and we assume a single eta parameter can link together livestock caecum </w:t>
      </w:r>
    </w:p>
    <w:p w14:paraId="1B6A9A20" w14:textId="629E7FB0" w:rsidR="00364702" w:rsidRDefault="00364702" w:rsidP="00D51170">
      <w:pPr>
        <w:pStyle w:val="ListParagraph"/>
        <w:numPr>
          <w:ilvl w:val="0"/>
          <w:numId w:val="18"/>
        </w:numPr>
        <w:spacing w:after="0" w:line="360" w:lineRule="auto"/>
        <w:rPr>
          <w:bCs/>
        </w:rPr>
      </w:pPr>
      <w:r>
        <w:rPr>
          <w:bCs/>
        </w:rPr>
        <w:t xml:space="preserve">An assumption that domestic livestock </w:t>
      </w:r>
      <w:proofErr w:type="spellStart"/>
      <w:r>
        <w:rPr>
          <w:bCs/>
        </w:rPr>
        <w:t>antibioptic</w:t>
      </w:r>
      <w:proofErr w:type="spellEnd"/>
      <w:r>
        <w:rPr>
          <w:bCs/>
        </w:rPr>
        <w:t xml:space="preserve"> usage changes are linked to human health </w:t>
      </w:r>
      <w:r w:rsidR="00D20281">
        <w:rPr>
          <w:bCs/>
        </w:rPr>
        <w:t xml:space="preserve">– worst case scenario if it wasn’t really related to human health – then the efficacy of curtailment would be even lower to begin with (as domestic resistance would be quite low) – and the majority of improvement would be to import trading policy (this is still an important message). </w:t>
      </w:r>
    </w:p>
    <w:p w14:paraId="50539F0C" w14:textId="2E7BA208" w:rsidR="003F0E81" w:rsidRDefault="003F0E81" w:rsidP="003F0E81">
      <w:pPr>
        <w:spacing w:after="0" w:line="360" w:lineRule="auto"/>
        <w:rPr>
          <w:bCs/>
        </w:rPr>
      </w:pPr>
    </w:p>
    <w:p w14:paraId="5803E41F" w14:textId="6409F522" w:rsidR="003F0E81" w:rsidRPr="00B75BA9" w:rsidRDefault="003F0E81" w:rsidP="003F0E81">
      <w:pPr>
        <w:spacing w:after="0" w:line="360" w:lineRule="auto"/>
        <w:rPr>
          <w:b/>
          <w:bCs/>
        </w:rPr>
      </w:pPr>
      <w:r w:rsidRPr="00B75BA9">
        <w:rPr>
          <w:b/>
          <w:bCs/>
        </w:rPr>
        <w:t xml:space="preserve">Overall Conclusion Paragraph </w:t>
      </w:r>
    </w:p>
    <w:sectPr w:rsidR="003F0E81"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233BDB"/>
    <w:multiLevelType w:val="hybridMultilevel"/>
    <w:tmpl w:val="ED1A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5"/>
  </w:num>
  <w:num w:numId="3">
    <w:abstractNumId w:val="21"/>
  </w:num>
  <w:num w:numId="4">
    <w:abstractNumId w:val="1"/>
  </w:num>
  <w:num w:numId="5">
    <w:abstractNumId w:val="3"/>
  </w:num>
  <w:num w:numId="6">
    <w:abstractNumId w:val="19"/>
  </w:num>
  <w:num w:numId="7">
    <w:abstractNumId w:val="26"/>
  </w:num>
  <w:num w:numId="8">
    <w:abstractNumId w:val="2"/>
  </w:num>
  <w:num w:numId="9">
    <w:abstractNumId w:val="28"/>
  </w:num>
  <w:num w:numId="10">
    <w:abstractNumId w:val="27"/>
  </w:num>
  <w:num w:numId="11">
    <w:abstractNumId w:val="6"/>
  </w:num>
  <w:num w:numId="12">
    <w:abstractNumId w:val="29"/>
  </w:num>
  <w:num w:numId="13">
    <w:abstractNumId w:val="13"/>
  </w:num>
  <w:num w:numId="14">
    <w:abstractNumId w:val="23"/>
  </w:num>
  <w:num w:numId="15">
    <w:abstractNumId w:val="15"/>
  </w:num>
  <w:num w:numId="16">
    <w:abstractNumId w:val="16"/>
  </w:num>
  <w:num w:numId="17">
    <w:abstractNumId w:val="8"/>
  </w:num>
  <w:num w:numId="18">
    <w:abstractNumId w:val="7"/>
  </w:num>
  <w:num w:numId="19">
    <w:abstractNumId w:val="10"/>
  </w:num>
  <w:num w:numId="20">
    <w:abstractNumId w:val="18"/>
  </w:num>
  <w:num w:numId="21">
    <w:abstractNumId w:val="12"/>
  </w:num>
  <w:num w:numId="22">
    <w:abstractNumId w:val="20"/>
  </w:num>
  <w:num w:numId="23">
    <w:abstractNumId w:val="17"/>
  </w:num>
  <w:num w:numId="24">
    <w:abstractNumId w:val="22"/>
  </w:num>
  <w:num w:numId="25">
    <w:abstractNumId w:val="25"/>
  </w:num>
  <w:num w:numId="26">
    <w:abstractNumId w:val="0"/>
  </w:num>
  <w:num w:numId="27">
    <w:abstractNumId w:val="9"/>
  </w:num>
  <w:num w:numId="28">
    <w:abstractNumId w:val="4"/>
  </w:num>
  <w:num w:numId="29">
    <w:abstractNumId w:val="14"/>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D0C"/>
    <w:rsid w:val="000017CA"/>
    <w:rsid w:val="00036FCA"/>
    <w:rsid w:val="000411C1"/>
    <w:rsid w:val="00041E63"/>
    <w:rsid w:val="00044754"/>
    <w:rsid w:val="000522E9"/>
    <w:rsid w:val="00063740"/>
    <w:rsid w:val="000702C0"/>
    <w:rsid w:val="00074D74"/>
    <w:rsid w:val="00082805"/>
    <w:rsid w:val="00091ADD"/>
    <w:rsid w:val="000A7BF3"/>
    <w:rsid w:val="000B2FD4"/>
    <w:rsid w:val="000B375D"/>
    <w:rsid w:val="000B4EEC"/>
    <w:rsid w:val="000D242E"/>
    <w:rsid w:val="000D3AFD"/>
    <w:rsid w:val="000D4AB7"/>
    <w:rsid w:val="000E2ED6"/>
    <w:rsid w:val="000E42C5"/>
    <w:rsid w:val="000F51EF"/>
    <w:rsid w:val="00101690"/>
    <w:rsid w:val="001168DB"/>
    <w:rsid w:val="00116B65"/>
    <w:rsid w:val="001178DA"/>
    <w:rsid w:val="00120369"/>
    <w:rsid w:val="00121691"/>
    <w:rsid w:val="00127AEE"/>
    <w:rsid w:val="00137BAF"/>
    <w:rsid w:val="00143D2E"/>
    <w:rsid w:val="00147253"/>
    <w:rsid w:val="001500B0"/>
    <w:rsid w:val="00153F9F"/>
    <w:rsid w:val="00164733"/>
    <w:rsid w:val="00166E35"/>
    <w:rsid w:val="001717F9"/>
    <w:rsid w:val="00174A59"/>
    <w:rsid w:val="00176C85"/>
    <w:rsid w:val="00185D12"/>
    <w:rsid w:val="001961E5"/>
    <w:rsid w:val="00196DC0"/>
    <w:rsid w:val="00197217"/>
    <w:rsid w:val="001B2E3B"/>
    <w:rsid w:val="001B4A06"/>
    <w:rsid w:val="001B63B2"/>
    <w:rsid w:val="001D6A93"/>
    <w:rsid w:val="001D6D90"/>
    <w:rsid w:val="001E0213"/>
    <w:rsid w:val="001E11D2"/>
    <w:rsid w:val="001E2F24"/>
    <w:rsid w:val="001E613E"/>
    <w:rsid w:val="0020760F"/>
    <w:rsid w:val="00207E9B"/>
    <w:rsid w:val="00212FD2"/>
    <w:rsid w:val="002245F7"/>
    <w:rsid w:val="0023487B"/>
    <w:rsid w:val="0024747D"/>
    <w:rsid w:val="00265C08"/>
    <w:rsid w:val="002724A8"/>
    <w:rsid w:val="00275E05"/>
    <w:rsid w:val="002844D8"/>
    <w:rsid w:val="0029369D"/>
    <w:rsid w:val="00296956"/>
    <w:rsid w:val="002A3A37"/>
    <w:rsid w:val="002A60AD"/>
    <w:rsid w:val="002A6854"/>
    <w:rsid w:val="002C2F49"/>
    <w:rsid w:val="002C5165"/>
    <w:rsid w:val="002D7AEF"/>
    <w:rsid w:val="002E2526"/>
    <w:rsid w:val="002F205B"/>
    <w:rsid w:val="003057B4"/>
    <w:rsid w:val="00311DD4"/>
    <w:rsid w:val="00322059"/>
    <w:rsid w:val="00323338"/>
    <w:rsid w:val="00331B9C"/>
    <w:rsid w:val="00331C45"/>
    <w:rsid w:val="00331CB5"/>
    <w:rsid w:val="00347297"/>
    <w:rsid w:val="00352A99"/>
    <w:rsid w:val="003565AC"/>
    <w:rsid w:val="00357800"/>
    <w:rsid w:val="00361723"/>
    <w:rsid w:val="00362891"/>
    <w:rsid w:val="003636B1"/>
    <w:rsid w:val="00364702"/>
    <w:rsid w:val="003743BB"/>
    <w:rsid w:val="00392817"/>
    <w:rsid w:val="003D603C"/>
    <w:rsid w:val="003D652A"/>
    <w:rsid w:val="003E131F"/>
    <w:rsid w:val="003E26B6"/>
    <w:rsid w:val="003E4B0D"/>
    <w:rsid w:val="003E5AF1"/>
    <w:rsid w:val="003F0E81"/>
    <w:rsid w:val="00402651"/>
    <w:rsid w:val="00405967"/>
    <w:rsid w:val="004175AA"/>
    <w:rsid w:val="00422EE7"/>
    <w:rsid w:val="004240B0"/>
    <w:rsid w:val="004322E0"/>
    <w:rsid w:val="0044039F"/>
    <w:rsid w:val="004448DD"/>
    <w:rsid w:val="00452015"/>
    <w:rsid w:val="00455EA6"/>
    <w:rsid w:val="004643C2"/>
    <w:rsid w:val="004726F7"/>
    <w:rsid w:val="0047606F"/>
    <w:rsid w:val="00493807"/>
    <w:rsid w:val="00496C83"/>
    <w:rsid w:val="004970E9"/>
    <w:rsid w:val="004C3C82"/>
    <w:rsid w:val="004D37AC"/>
    <w:rsid w:val="004D51C3"/>
    <w:rsid w:val="004F38F0"/>
    <w:rsid w:val="00512AB7"/>
    <w:rsid w:val="00512B3D"/>
    <w:rsid w:val="00514CB2"/>
    <w:rsid w:val="00515EAF"/>
    <w:rsid w:val="0052021A"/>
    <w:rsid w:val="00533964"/>
    <w:rsid w:val="00542DE8"/>
    <w:rsid w:val="00546083"/>
    <w:rsid w:val="005507C9"/>
    <w:rsid w:val="00556463"/>
    <w:rsid w:val="00556F70"/>
    <w:rsid w:val="00565A1F"/>
    <w:rsid w:val="00567E1A"/>
    <w:rsid w:val="00584474"/>
    <w:rsid w:val="00591CB7"/>
    <w:rsid w:val="005A5043"/>
    <w:rsid w:val="005B1B1D"/>
    <w:rsid w:val="005B2921"/>
    <w:rsid w:val="005C008A"/>
    <w:rsid w:val="005C2B5B"/>
    <w:rsid w:val="005C3F66"/>
    <w:rsid w:val="005D0993"/>
    <w:rsid w:val="005D1387"/>
    <w:rsid w:val="005D6018"/>
    <w:rsid w:val="005E1E8B"/>
    <w:rsid w:val="005E6E0E"/>
    <w:rsid w:val="00604C5B"/>
    <w:rsid w:val="00606A02"/>
    <w:rsid w:val="00606F35"/>
    <w:rsid w:val="00607D17"/>
    <w:rsid w:val="0061150E"/>
    <w:rsid w:val="0061455E"/>
    <w:rsid w:val="006161A0"/>
    <w:rsid w:val="00621B6D"/>
    <w:rsid w:val="0062417B"/>
    <w:rsid w:val="00631900"/>
    <w:rsid w:val="006338E5"/>
    <w:rsid w:val="0063724F"/>
    <w:rsid w:val="00640702"/>
    <w:rsid w:val="00641560"/>
    <w:rsid w:val="006565A9"/>
    <w:rsid w:val="00657853"/>
    <w:rsid w:val="00661912"/>
    <w:rsid w:val="00666796"/>
    <w:rsid w:val="00671B51"/>
    <w:rsid w:val="00675838"/>
    <w:rsid w:val="006A2C8E"/>
    <w:rsid w:val="006B0158"/>
    <w:rsid w:val="006C1AC7"/>
    <w:rsid w:val="006D35ED"/>
    <w:rsid w:val="006D4052"/>
    <w:rsid w:val="006D77C4"/>
    <w:rsid w:val="006E05B4"/>
    <w:rsid w:val="006E3340"/>
    <w:rsid w:val="006E6D93"/>
    <w:rsid w:val="00700611"/>
    <w:rsid w:val="00704F20"/>
    <w:rsid w:val="007051A5"/>
    <w:rsid w:val="00722872"/>
    <w:rsid w:val="00732A5C"/>
    <w:rsid w:val="00737561"/>
    <w:rsid w:val="00740AFB"/>
    <w:rsid w:val="00741FA0"/>
    <w:rsid w:val="00743602"/>
    <w:rsid w:val="0074647E"/>
    <w:rsid w:val="0075714A"/>
    <w:rsid w:val="00761340"/>
    <w:rsid w:val="007735FA"/>
    <w:rsid w:val="00774866"/>
    <w:rsid w:val="00774B59"/>
    <w:rsid w:val="00782365"/>
    <w:rsid w:val="00782548"/>
    <w:rsid w:val="007A072D"/>
    <w:rsid w:val="007A3A0E"/>
    <w:rsid w:val="007A662E"/>
    <w:rsid w:val="007B1874"/>
    <w:rsid w:val="007C508C"/>
    <w:rsid w:val="007D5E0A"/>
    <w:rsid w:val="007F22FE"/>
    <w:rsid w:val="0080627B"/>
    <w:rsid w:val="00830A1A"/>
    <w:rsid w:val="00840174"/>
    <w:rsid w:val="008410F5"/>
    <w:rsid w:val="0085712B"/>
    <w:rsid w:val="00857B3D"/>
    <w:rsid w:val="008667E4"/>
    <w:rsid w:val="00873797"/>
    <w:rsid w:val="00873F0A"/>
    <w:rsid w:val="00874540"/>
    <w:rsid w:val="008764F5"/>
    <w:rsid w:val="00891A95"/>
    <w:rsid w:val="0089365C"/>
    <w:rsid w:val="00895554"/>
    <w:rsid w:val="008A566A"/>
    <w:rsid w:val="008D0624"/>
    <w:rsid w:val="008D7BF7"/>
    <w:rsid w:val="008E0F23"/>
    <w:rsid w:val="008E233B"/>
    <w:rsid w:val="008F614E"/>
    <w:rsid w:val="009013C5"/>
    <w:rsid w:val="009013D4"/>
    <w:rsid w:val="00910B8F"/>
    <w:rsid w:val="00911098"/>
    <w:rsid w:val="00912E82"/>
    <w:rsid w:val="00917037"/>
    <w:rsid w:val="009175FE"/>
    <w:rsid w:val="0092736D"/>
    <w:rsid w:val="00931DE8"/>
    <w:rsid w:val="00935C63"/>
    <w:rsid w:val="0094317D"/>
    <w:rsid w:val="00957D22"/>
    <w:rsid w:val="0096154D"/>
    <w:rsid w:val="00966B48"/>
    <w:rsid w:val="00974F31"/>
    <w:rsid w:val="0098118E"/>
    <w:rsid w:val="009A60A7"/>
    <w:rsid w:val="009B116D"/>
    <w:rsid w:val="009C0EC8"/>
    <w:rsid w:val="009E5758"/>
    <w:rsid w:val="009F2433"/>
    <w:rsid w:val="009F2C64"/>
    <w:rsid w:val="00A01C2A"/>
    <w:rsid w:val="00A05E6D"/>
    <w:rsid w:val="00A0675E"/>
    <w:rsid w:val="00A06BA2"/>
    <w:rsid w:val="00A150A1"/>
    <w:rsid w:val="00A1530D"/>
    <w:rsid w:val="00A233DB"/>
    <w:rsid w:val="00A2488B"/>
    <w:rsid w:val="00A27AC3"/>
    <w:rsid w:val="00A35E99"/>
    <w:rsid w:val="00A36FF8"/>
    <w:rsid w:val="00A418FB"/>
    <w:rsid w:val="00A42CCF"/>
    <w:rsid w:val="00A448C0"/>
    <w:rsid w:val="00A52CF4"/>
    <w:rsid w:val="00A53792"/>
    <w:rsid w:val="00A53AB4"/>
    <w:rsid w:val="00A53CE8"/>
    <w:rsid w:val="00A54B52"/>
    <w:rsid w:val="00A8015B"/>
    <w:rsid w:val="00A820CF"/>
    <w:rsid w:val="00A871D8"/>
    <w:rsid w:val="00A87E71"/>
    <w:rsid w:val="00A92678"/>
    <w:rsid w:val="00A93145"/>
    <w:rsid w:val="00A95D6B"/>
    <w:rsid w:val="00A962F1"/>
    <w:rsid w:val="00AA2A0B"/>
    <w:rsid w:val="00AA5EEA"/>
    <w:rsid w:val="00AB0124"/>
    <w:rsid w:val="00AE2D40"/>
    <w:rsid w:val="00AE3D60"/>
    <w:rsid w:val="00AE6C07"/>
    <w:rsid w:val="00AF5EC3"/>
    <w:rsid w:val="00B0060C"/>
    <w:rsid w:val="00B072CB"/>
    <w:rsid w:val="00B11068"/>
    <w:rsid w:val="00B16943"/>
    <w:rsid w:val="00B23F67"/>
    <w:rsid w:val="00B27278"/>
    <w:rsid w:val="00B3258C"/>
    <w:rsid w:val="00B3617C"/>
    <w:rsid w:val="00B43129"/>
    <w:rsid w:val="00B46C2F"/>
    <w:rsid w:val="00B552FF"/>
    <w:rsid w:val="00B57D67"/>
    <w:rsid w:val="00B63CD3"/>
    <w:rsid w:val="00B65B4E"/>
    <w:rsid w:val="00B671B4"/>
    <w:rsid w:val="00B72358"/>
    <w:rsid w:val="00B75BA9"/>
    <w:rsid w:val="00B8081E"/>
    <w:rsid w:val="00B828AF"/>
    <w:rsid w:val="00B83179"/>
    <w:rsid w:val="00B91369"/>
    <w:rsid w:val="00B9302E"/>
    <w:rsid w:val="00B93EE5"/>
    <w:rsid w:val="00B943BB"/>
    <w:rsid w:val="00BA13E1"/>
    <w:rsid w:val="00BA2D95"/>
    <w:rsid w:val="00BB467C"/>
    <w:rsid w:val="00BB48E7"/>
    <w:rsid w:val="00BD7B5D"/>
    <w:rsid w:val="00BE0799"/>
    <w:rsid w:val="00BE10CE"/>
    <w:rsid w:val="00BE1A82"/>
    <w:rsid w:val="00BE510C"/>
    <w:rsid w:val="00BE6412"/>
    <w:rsid w:val="00BF08B6"/>
    <w:rsid w:val="00C02BA1"/>
    <w:rsid w:val="00C040CB"/>
    <w:rsid w:val="00C068C2"/>
    <w:rsid w:val="00C13DD4"/>
    <w:rsid w:val="00C20DFD"/>
    <w:rsid w:val="00C35661"/>
    <w:rsid w:val="00C36211"/>
    <w:rsid w:val="00C37C51"/>
    <w:rsid w:val="00C42765"/>
    <w:rsid w:val="00C44636"/>
    <w:rsid w:val="00C4469A"/>
    <w:rsid w:val="00C53B89"/>
    <w:rsid w:val="00C61527"/>
    <w:rsid w:val="00C70288"/>
    <w:rsid w:val="00C7040B"/>
    <w:rsid w:val="00C92BFC"/>
    <w:rsid w:val="00CA488B"/>
    <w:rsid w:val="00CB0009"/>
    <w:rsid w:val="00CB1797"/>
    <w:rsid w:val="00CC1DA9"/>
    <w:rsid w:val="00CC3421"/>
    <w:rsid w:val="00CC65D8"/>
    <w:rsid w:val="00CD5FAF"/>
    <w:rsid w:val="00CD7B71"/>
    <w:rsid w:val="00CF200A"/>
    <w:rsid w:val="00CF48D7"/>
    <w:rsid w:val="00D144AA"/>
    <w:rsid w:val="00D20281"/>
    <w:rsid w:val="00D237C9"/>
    <w:rsid w:val="00D32772"/>
    <w:rsid w:val="00D34EE1"/>
    <w:rsid w:val="00D3605F"/>
    <w:rsid w:val="00D360D4"/>
    <w:rsid w:val="00D37387"/>
    <w:rsid w:val="00D41A12"/>
    <w:rsid w:val="00D42CDA"/>
    <w:rsid w:val="00D50D43"/>
    <w:rsid w:val="00D51170"/>
    <w:rsid w:val="00D51B6E"/>
    <w:rsid w:val="00D70D0C"/>
    <w:rsid w:val="00D7598E"/>
    <w:rsid w:val="00D91FF6"/>
    <w:rsid w:val="00D97C0B"/>
    <w:rsid w:val="00D97CC7"/>
    <w:rsid w:val="00DA3796"/>
    <w:rsid w:val="00DA4278"/>
    <w:rsid w:val="00DA7F3D"/>
    <w:rsid w:val="00DB3D19"/>
    <w:rsid w:val="00DC28B8"/>
    <w:rsid w:val="00DC6097"/>
    <w:rsid w:val="00DC63A3"/>
    <w:rsid w:val="00DD34AC"/>
    <w:rsid w:val="00DD6757"/>
    <w:rsid w:val="00DE140E"/>
    <w:rsid w:val="00DE3E58"/>
    <w:rsid w:val="00DF2E4B"/>
    <w:rsid w:val="00DF31DA"/>
    <w:rsid w:val="00DF6D86"/>
    <w:rsid w:val="00E00C0B"/>
    <w:rsid w:val="00E07264"/>
    <w:rsid w:val="00E07823"/>
    <w:rsid w:val="00E12FD3"/>
    <w:rsid w:val="00E20B02"/>
    <w:rsid w:val="00E3038C"/>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9289F"/>
    <w:rsid w:val="00EA4FC1"/>
    <w:rsid w:val="00EA5D43"/>
    <w:rsid w:val="00EB3501"/>
    <w:rsid w:val="00EC1742"/>
    <w:rsid w:val="00ED355F"/>
    <w:rsid w:val="00EE6675"/>
    <w:rsid w:val="00EF0794"/>
    <w:rsid w:val="00EF70D1"/>
    <w:rsid w:val="00EF7947"/>
    <w:rsid w:val="00F11EB1"/>
    <w:rsid w:val="00F149E5"/>
    <w:rsid w:val="00F172FF"/>
    <w:rsid w:val="00F204E4"/>
    <w:rsid w:val="00F210D5"/>
    <w:rsid w:val="00F23B66"/>
    <w:rsid w:val="00F300B4"/>
    <w:rsid w:val="00F4591F"/>
    <w:rsid w:val="00F536A1"/>
    <w:rsid w:val="00F537EE"/>
    <w:rsid w:val="00F656BA"/>
    <w:rsid w:val="00F700EC"/>
    <w:rsid w:val="00F775FE"/>
    <w:rsid w:val="00F80514"/>
    <w:rsid w:val="00F8064F"/>
    <w:rsid w:val="00F87513"/>
    <w:rsid w:val="00FA0315"/>
    <w:rsid w:val="00FD123F"/>
    <w:rsid w:val="00FD3584"/>
    <w:rsid w:val="00FD5B36"/>
    <w:rsid w:val="00FE3311"/>
    <w:rsid w:val="00FE551C"/>
    <w:rsid w:val="00FE7E18"/>
    <w:rsid w:val="00FF05FE"/>
    <w:rsid w:val="00FF3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hyperlink" Target="https://www.fda.gov/media/120585/download" TargetMode="External"/><Relationship Id="rId2" Type="http://schemas.openxmlformats.org/officeDocument/2006/relationships/numbering" Target="numbering.xml"/><Relationship Id="rId16" Type="http://schemas.openxmlformats.org/officeDocument/2006/relationships/hyperlink" Target="https://ec.europa.eu/food/system/files/2016-10/ia_ic_guidance_thirdcountries2009_en.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1A16B-6EC9-4CAD-AE76-43EC7C6BD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18248</TotalTime>
  <Pages>29</Pages>
  <Words>7414</Words>
  <Characters>42265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45</cp:revision>
  <dcterms:created xsi:type="dcterms:W3CDTF">2022-01-03T13:38:00Z</dcterms:created>
  <dcterms:modified xsi:type="dcterms:W3CDTF">2022-02-17T13:22:00Z</dcterms:modified>
</cp:coreProperties>
</file>