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A755" w14:textId="77777777" w:rsidR="00193BA3" w:rsidRPr="00B966F2" w:rsidRDefault="00193BA3" w:rsidP="00193BA3">
      <w:pPr>
        <w:spacing w:after="0" w:line="360" w:lineRule="auto"/>
        <w:jc w:val="both"/>
        <w:rPr>
          <w:rFonts w:cstheme="minorHAnsi"/>
        </w:rPr>
      </w:pPr>
      <w:r w:rsidRPr="00B966F2">
        <w:rPr>
          <w:rFonts w:cstheme="minorHAnsi"/>
          <w:b/>
          <w:bCs/>
        </w:rPr>
        <w:t>Table 1</w:t>
      </w:r>
      <w:r>
        <w:rPr>
          <w:rFonts w:cstheme="minorHAnsi"/>
          <w:b/>
          <w:bCs/>
        </w:rPr>
        <w:t>.</w:t>
      </w:r>
      <w:r w:rsidRPr="00B966F2">
        <w:rPr>
          <w:rFonts w:cstheme="minorHAnsi"/>
        </w:rPr>
        <w:t xml:space="preserve"> Description of the five intervention</w:t>
      </w:r>
      <w:r>
        <w:rPr>
          <w:rFonts w:cstheme="minorHAnsi"/>
        </w:rPr>
        <w:t xml:space="preserve"> scenarios</w:t>
      </w:r>
      <w:r w:rsidRPr="00B966F2">
        <w:rPr>
          <w:rFonts w:cstheme="minorHAnsi"/>
        </w:rPr>
        <w:t xml:space="preserve">. </w:t>
      </w:r>
    </w:p>
    <w:tbl>
      <w:tblPr>
        <w:tblStyle w:val="GridTable4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70"/>
        <w:gridCol w:w="3183"/>
        <w:gridCol w:w="4819"/>
      </w:tblGrid>
      <w:tr w:rsidR="00193BA3" w:rsidRPr="00A811A7" w14:paraId="004B70F9" w14:textId="77777777" w:rsidTr="00607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vAlign w:val="center"/>
          </w:tcPr>
          <w:p w14:paraId="008953EE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bookmarkStart w:id="0" w:name="_Hlk48319177"/>
            <w:r w:rsidRPr="00E20BFC">
              <w:rPr>
                <w:rFonts w:cstheme="minorHAnsi"/>
              </w:rPr>
              <w:t>Scenario</w:t>
            </w:r>
          </w:p>
        </w:tc>
        <w:tc>
          <w:tcPr>
            <w:tcW w:w="3183" w:type="dxa"/>
            <w:vAlign w:val="center"/>
          </w:tcPr>
          <w:p w14:paraId="2F658217" w14:textId="77777777" w:rsidR="00193BA3" w:rsidRPr="00E20BFC" w:rsidRDefault="00193BA3" w:rsidP="0060706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Description of </w:t>
            </w:r>
            <w:r w:rsidRPr="00E20BFC">
              <w:rPr>
                <w:rFonts w:cstheme="minorHAnsi"/>
                <w:i/>
                <w:iCs/>
              </w:rPr>
              <w:t>c(t)</w:t>
            </w:r>
            <w:r w:rsidRPr="00E20BFC">
              <w:rPr>
                <w:rFonts w:cstheme="minorHAnsi"/>
              </w:rPr>
              <w:t xml:space="preserve"> </w:t>
            </w:r>
          </w:p>
        </w:tc>
        <w:tc>
          <w:tcPr>
            <w:tcW w:w="4819" w:type="dxa"/>
            <w:vAlign w:val="center"/>
          </w:tcPr>
          <w:p w14:paraId="643C81C6" w14:textId="77777777" w:rsidR="00193BA3" w:rsidRPr="00E20BFC" w:rsidRDefault="00193BA3" w:rsidP="0060706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20BFC">
              <w:rPr>
                <w:rFonts w:cstheme="minorHAnsi"/>
              </w:rPr>
              <w:t>Definition of</w:t>
            </w:r>
            <w:r w:rsidRPr="00E20BFC">
              <w:rPr>
                <w:rFonts w:cstheme="minorHAnsi"/>
                <w:i/>
                <w:iCs/>
              </w:rPr>
              <w:t xml:space="preserve"> c(t)</w:t>
            </w:r>
            <w:r w:rsidRPr="00E20BFC">
              <w:rPr>
                <w:rFonts w:cstheme="minorHAnsi"/>
              </w:rPr>
              <w:t xml:space="preserve"> </w:t>
            </w:r>
          </w:p>
        </w:tc>
      </w:tr>
      <w:tr w:rsidR="00193BA3" w:rsidRPr="00A811A7" w14:paraId="119AB03A" w14:textId="77777777" w:rsidTr="0060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6939A8C4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r w:rsidRPr="00E20BFC">
              <w:rPr>
                <w:rFonts w:cstheme="minorHAnsi"/>
              </w:rPr>
              <w:t>1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640C5CC4" w14:textId="77777777" w:rsidR="00193BA3" w:rsidRPr="00A811A7" w:rsidRDefault="00193BA3" w:rsidP="006070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 w:rsidRPr="00B966F2">
              <w:rPr>
                <w:rFonts w:cstheme="minorHAnsi"/>
              </w:rPr>
              <w:t xml:space="preserve">Immediate and constant reduction to </w:t>
            </w:r>
            <w:r w:rsidRPr="00B966F2">
              <w:rPr>
                <w:rFonts w:cstheme="minorHAnsi"/>
                <w:i/>
                <w:iCs/>
              </w:rPr>
              <w:t>c</w:t>
            </w:r>
            <w:r w:rsidRPr="00B966F2">
              <w:rPr>
                <w:rFonts w:cstheme="minorHAnsi"/>
                <w:i/>
                <w:iCs/>
                <w:vertAlign w:val="subscript"/>
              </w:rPr>
              <w:t>min</w:t>
            </w:r>
            <w:r w:rsidRPr="00B966F2">
              <w:rPr>
                <w:rFonts w:cstheme="minorHAnsi"/>
              </w:rPr>
              <w:t>.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94FB334" w14:textId="77777777" w:rsidR="00193BA3" w:rsidRPr="00554524" w:rsidRDefault="00193BA3" w:rsidP="006070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193BA3" w:rsidRPr="00A811A7" w14:paraId="25481974" w14:textId="77777777" w:rsidTr="0060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76676ED8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r w:rsidRPr="00E20BFC">
              <w:rPr>
                <w:rFonts w:cstheme="minorHAnsi"/>
              </w:rPr>
              <w:t>2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79144322" w14:textId="77777777" w:rsidR="00193BA3" w:rsidRPr="00A811A7" w:rsidRDefault="00193BA3" w:rsidP="006070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 w:rsidRPr="00B966F2">
              <w:rPr>
                <w:rFonts w:cstheme="minorHAnsi"/>
              </w:rPr>
              <w:t xml:space="preserve">Immediate reduction to </w:t>
            </w:r>
            <w:r w:rsidRPr="00B966F2">
              <w:rPr>
                <w:rFonts w:cstheme="minorHAnsi"/>
                <w:i/>
                <w:iCs/>
              </w:rPr>
              <w:t>c</w:t>
            </w:r>
            <w:r w:rsidRPr="00B966F2">
              <w:rPr>
                <w:rFonts w:cstheme="minorHAnsi"/>
                <w:i/>
                <w:iCs/>
                <w:vertAlign w:val="subscript"/>
              </w:rPr>
              <w:t>min</w:t>
            </w:r>
            <w:r w:rsidRPr="00B966F2">
              <w:rPr>
                <w:rFonts w:cstheme="minorHAnsi"/>
              </w:rPr>
              <w:t xml:space="preserve"> followed by a linear increase back to </w:t>
            </w:r>
            <w:r w:rsidRPr="00B966F2">
              <w:rPr>
                <w:rFonts w:cstheme="minorHAnsi"/>
                <w:i/>
                <w:iCs/>
              </w:rPr>
              <w:t>c(t)</w:t>
            </w:r>
            <w:r w:rsidRPr="00B966F2">
              <w:rPr>
                <w:rFonts w:cstheme="minorHAnsi"/>
              </w:rPr>
              <w:t xml:space="preserve"> = 1.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9607A7F" w14:textId="77777777" w:rsidR="00193BA3" w:rsidRPr="00554524" w:rsidRDefault="00193BA3" w:rsidP="006070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193BA3" w:rsidRPr="00A811A7" w14:paraId="5F06832C" w14:textId="77777777" w:rsidTr="0060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5A053D46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r w:rsidRPr="00E20BFC">
              <w:rPr>
                <w:rFonts w:cstheme="minorHAnsi"/>
              </w:rPr>
              <w:t>3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160C80DF" w14:textId="77777777" w:rsidR="00193BA3" w:rsidRPr="00FF798F" w:rsidRDefault="00193BA3" w:rsidP="0060706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F798F">
              <w:rPr>
                <w:rFonts w:cstheme="minorHAnsi"/>
              </w:rPr>
              <w:t xml:space="preserve">Linear decrease to </w:t>
            </w:r>
            <w:r w:rsidRPr="00FF798F">
              <w:rPr>
                <w:rFonts w:cstheme="minorHAnsi"/>
                <w:i/>
                <w:iCs/>
              </w:rPr>
              <w:t>c</w:t>
            </w:r>
            <w:r w:rsidRPr="00FF798F">
              <w:rPr>
                <w:rFonts w:cstheme="minorHAnsi"/>
                <w:i/>
                <w:iCs/>
                <w:vertAlign w:val="subscript"/>
              </w:rPr>
              <w:t>min</w:t>
            </w:r>
            <w:r w:rsidRPr="00FF798F">
              <w:rPr>
                <w:rFonts w:cstheme="minorHAnsi"/>
              </w:rPr>
              <w:t xml:space="preserve"> followed by an immediate return to </w:t>
            </w:r>
            <w:r w:rsidRPr="00FF798F">
              <w:rPr>
                <w:rFonts w:cstheme="minorHAnsi"/>
                <w:i/>
                <w:iCs/>
              </w:rPr>
              <w:t>c(t)</w:t>
            </w:r>
            <w:r w:rsidRPr="00FF798F">
              <w:rPr>
                <w:rFonts w:cstheme="minorHAnsi"/>
              </w:rPr>
              <w:t xml:space="preserve"> = 1.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78B8A7B3" w14:textId="77777777" w:rsidR="00193BA3" w:rsidRPr="00554524" w:rsidRDefault="00193BA3" w:rsidP="006070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noProof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(t-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193BA3" w:rsidRPr="00A811A7" w14:paraId="770EF06C" w14:textId="77777777" w:rsidTr="00607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17E326A6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r w:rsidRPr="00E20BFC">
              <w:rPr>
                <w:rFonts w:cstheme="minorHAnsi"/>
              </w:rPr>
              <w:t>4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004E64DB" w14:textId="77777777" w:rsidR="00193BA3" w:rsidRPr="00FF798F" w:rsidRDefault="00193BA3" w:rsidP="0060706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F798F">
              <w:rPr>
                <w:rFonts w:cstheme="minorHAnsi"/>
              </w:rPr>
              <w:t xml:space="preserve">Linear decrease to </w:t>
            </w:r>
            <w:r w:rsidRPr="00FF798F">
              <w:rPr>
                <w:rFonts w:cstheme="minorHAnsi"/>
                <w:i/>
                <w:iCs/>
              </w:rPr>
              <w:t>c</w:t>
            </w:r>
            <w:r w:rsidRPr="00FF798F">
              <w:rPr>
                <w:rFonts w:cstheme="minorHAnsi"/>
                <w:i/>
                <w:iCs/>
                <w:vertAlign w:val="subscript"/>
              </w:rPr>
              <w:t>min</w:t>
            </w:r>
            <w:r w:rsidRPr="00FF798F">
              <w:rPr>
                <w:rFonts w:cstheme="minorHAnsi"/>
              </w:rPr>
              <w:t xml:space="preserve"> at </w:t>
            </w:r>
            <w:r w:rsidRPr="00FF798F">
              <w:rPr>
                <w:rFonts w:cstheme="minorHAnsi"/>
                <w:i/>
                <w:iCs/>
              </w:rPr>
              <w:t>d</w:t>
            </w:r>
            <w:r w:rsidRPr="00FF798F">
              <w:rPr>
                <w:rFonts w:cstheme="minorHAnsi"/>
                <w:i/>
                <w:iCs/>
                <w:vertAlign w:val="subscript"/>
              </w:rPr>
              <w:t>t</w:t>
            </w:r>
            <w:r w:rsidRPr="00FF798F">
              <w:rPr>
                <w:rFonts w:cstheme="minorHAnsi"/>
              </w:rPr>
              <w:t xml:space="preserve">/2, followed by a linear increase back to </w:t>
            </w:r>
            <w:r w:rsidRPr="00FF798F">
              <w:rPr>
                <w:rFonts w:cstheme="minorHAnsi"/>
                <w:i/>
                <w:iCs/>
              </w:rPr>
              <w:t>c(t)</w:t>
            </w:r>
            <w:r w:rsidRPr="00FF798F">
              <w:rPr>
                <w:rFonts w:cstheme="minorHAnsi"/>
              </w:rPr>
              <w:t xml:space="preserve"> = 1.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5A7FE206" w14:textId="77777777" w:rsidR="00193BA3" w:rsidRPr="00554524" w:rsidRDefault="00193BA3" w:rsidP="0060706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theme="minorHAnsi"/>
                <w:noProof/>
                <w:sz w:val="18"/>
                <w:szCs w:val="18"/>
                <w:lang w:eastAsia="en-GB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),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min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2</m:t>
                                </m:r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(t-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),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193BA3" w:rsidRPr="00A811A7" w14:paraId="2DAA6BEF" w14:textId="77777777" w:rsidTr="00607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  <w:shd w:val="clear" w:color="auto" w:fill="auto"/>
            <w:vAlign w:val="center"/>
          </w:tcPr>
          <w:p w14:paraId="132A4B36" w14:textId="77777777" w:rsidR="00193BA3" w:rsidRPr="00E20BFC" w:rsidRDefault="00193BA3" w:rsidP="0060706E">
            <w:pPr>
              <w:spacing w:line="276" w:lineRule="auto"/>
              <w:jc w:val="center"/>
              <w:rPr>
                <w:rFonts w:cstheme="minorHAnsi"/>
              </w:rPr>
            </w:pPr>
            <w:r w:rsidRPr="00E20BFC">
              <w:rPr>
                <w:rFonts w:cstheme="minorHAnsi"/>
              </w:rPr>
              <w:t>5</w:t>
            </w:r>
          </w:p>
        </w:tc>
        <w:tc>
          <w:tcPr>
            <w:tcW w:w="3183" w:type="dxa"/>
            <w:shd w:val="clear" w:color="auto" w:fill="auto"/>
            <w:vAlign w:val="center"/>
          </w:tcPr>
          <w:p w14:paraId="5894005A" w14:textId="77777777" w:rsidR="00193BA3" w:rsidRPr="00CF5D5B" w:rsidRDefault="00193BA3" w:rsidP="006070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20"/>
                <w:szCs w:val="20"/>
              </w:rPr>
            </w:pPr>
            <w:r w:rsidRPr="00CF5D5B">
              <w:rPr>
                <w:rFonts w:cstheme="minorHAnsi"/>
              </w:rPr>
              <w:t xml:space="preserve">A “pulsing” </w:t>
            </w:r>
            <w:r>
              <w:rPr>
                <w:rFonts w:cstheme="minorHAnsi"/>
              </w:rPr>
              <w:t xml:space="preserve">intervention </w:t>
            </w:r>
            <w:r w:rsidRPr="00CF5D5B">
              <w:rPr>
                <w:rFonts w:cstheme="minorHAnsi"/>
              </w:rPr>
              <w:t xml:space="preserve">with immediate reductions to </w:t>
            </w:r>
            <w:r w:rsidRPr="00CF5D5B">
              <w:rPr>
                <w:rFonts w:cstheme="minorHAnsi"/>
                <w:i/>
                <w:iCs/>
              </w:rPr>
              <w:t>c</w:t>
            </w:r>
            <w:r w:rsidRPr="00CF5D5B">
              <w:rPr>
                <w:rFonts w:cstheme="minorHAnsi"/>
                <w:i/>
                <w:iCs/>
                <w:vertAlign w:val="subscript"/>
              </w:rPr>
              <w:t>min</w:t>
            </w:r>
            <w:r w:rsidRPr="00CF5D5B">
              <w:rPr>
                <w:rFonts w:cstheme="minorHAnsi"/>
              </w:rPr>
              <w:t xml:space="preserve"> between intervention intervals 0-21, 35-49 and 63-77 days (for an example total intervention duration, </w:t>
            </w:r>
            <w:r w:rsidRPr="00CF5D5B">
              <w:rPr>
                <w:rFonts w:cstheme="minorHAnsi"/>
                <w:i/>
                <w:iCs/>
              </w:rPr>
              <w:t>d</w:t>
            </w:r>
            <w:r w:rsidRPr="00CF5D5B">
              <w:rPr>
                <w:rFonts w:cstheme="minorHAnsi"/>
                <w:i/>
                <w:iCs/>
                <w:vertAlign w:val="subscript"/>
              </w:rPr>
              <w:t>t</w:t>
            </w:r>
            <w:r w:rsidRPr="00CF5D5B">
              <w:rPr>
                <w:rFonts w:cstheme="minorHAnsi"/>
              </w:rPr>
              <w:t xml:space="preserve"> = 84 days).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40DE5D34" w14:textId="77777777" w:rsidR="00193BA3" w:rsidRPr="00554524" w:rsidRDefault="00193BA3" w:rsidP="0060706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theme="min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c(t)=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1,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≤t&lt;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1</m:t>
                        </m:r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,  &amp;t≥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18"/>
                                    <w:szCs w:val="18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bookmarkEnd w:id="0"/>
    </w:tbl>
    <w:p w14:paraId="62D258F0" w14:textId="7B17105C" w:rsidR="00405EF6" w:rsidRDefault="00D72CBF"/>
    <w:p w14:paraId="3EDB8B50" w14:textId="496C64FF" w:rsidR="00193BA3" w:rsidRDefault="00193BA3"/>
    <w:p w14:paraId="5E6B6AD8" w14:textId="59EEC300" w:rsidR="00193BA3" w:rsidRDefault="00193BA3"/>
    <w:p w14:paraId="37BBAB5F" w14:textId="35AA2338" w:rsidR="00193BA3" w:rsidRDefault="00193BA3"/>
    <w:p w14:paraId="5B15EEAA" w14:textId="7371C8FF" w:rsidR="00193BA3" w:rsidRDefault="00193BA3"/>
    <w:p w14:paraId="6F38C549" w14:textId="6FF57C06" w:rsidR="00193BA3" w:rsidRDefault="00193BA3"/>
    <w:p w14:paraId="37A3F1C9" w14:textId="277F6C62" w:rsidR="00193BA3" w:rsidRDefault="00193BA3"/>
    <w:p w14:paraId="5E6DC690" w14:textId="34676FC9" w:rsidR="00193BA3" w:rsidRDefault="00193BA3"/>
    <w:p w14:paraId="7F3833F4" w14:textId="2A2E11DA" w:rsidR="00193BA3" w:rsidRDefault="00193BA3"/>
    <w:p w14:paraId="446F9590" w14:textId="07C98617" w:rsidR="00193BA3" w:rsidRDefault="00193BA3"/>
    <w:p w14:paraId="5929CC7D" w14:textId="3396B0BA" w:rsidR="00193BA3" w:rsidRDefault="00193BA3"/>
    <w:p w14:paraId="370696D4" w14:textId="12D512E4" w:rsidR="00193BA3" w:rsidRDefault="00193BA3"/>
    <w:p w14:paraId="1342806F" w14:textId="7945E05D" w:rsidR="00193BA3" w:rsidRDefault="00193BA3"/>
    <w:p w14:paraId="08BD38EA" w14:textId="5E3D167D" w:rsidR="00193BA3" w:rsidRDefault="00193BA3"/>
    <w:p w14:paraId="352D7B4A" w14:textId="2CDF8401" w:rsidR="00193BA3" w:rsidRDefault="00193BA3"/>
    <w:p w14:paraId="1408F6E2" w14:textId="77777777" w:rsidR="00193BA3" w:rsidRDefault="00193BA3" w:rsidP="00193BA3">
      <w:pPr>
        <w:spacing w:after="0" w:line="360" w:lineRule="auto"/>
        <w:jc w:val="center"/>
        <w:rPr>
          <w:rFonts w:cstheme="minorHAnsi"/>
        </w:rPr>
      </w:pPr>
    </w:p>
    <w:p w14:paraId="36F3F3A0" w14:textId="3146CCB0" w:rsidR="00193BA3" w:rsidRPr="00C13B7B" w:rsidRDefault="00D72CBF" w:rsidP="00193BA3">
      <w:pPr>
        <w:spacing w:after="0"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BBDE578" wp14:editId="037DCFF4">
            <wp:extent cx="5731510" cy="617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0B74" w14:textId="77777777" w:rsidR="00193BA3" w:rsidRDefault="00193BA3" w:rsidP="00193BA3">
      <w:pPr>
        <w:spacing w:after="0" w:line="360" w:lineRule="auto"/>
        <w:jc w:val="both"/>
        <w:rPr>
          <w:rFonts w:ascii="Calibri" w:hAnsi="Calibri" w:cs="Calibri"/>
          <w:highlight w:val="yellow"/>
        </w:rPr>
      </w:pPr>
      <w:r w:rsidRPr="00C13B7B">
        <w:rPr>
          <w:rFonts w:cstheme="minorHAnsi"/>
          <w:b/>
          <w:bCs/>
        </w:rPr>
        <w:t xml:space="preserve">Figure 1. </w:t>
      </w:r>
      <w:r>
        <w:rPr>
          <w:rFonts w:cstheme="minorHAnsi"/>
          <w:b/>
          <w:bCs/>
        </w:rPr>
        <w:t xml:space="preserve">A) Trajectory plots for the epidemic curve, </w:t>
      </w:r>
      <w:r w:rsidRPr="00C370CE">
        <w:rPr>
          <w:rFonts w:cstheme="minorHAnsi"/>
          <w:b/>
          <w:bCs/>
          <w:i/>
          <w:iCs/>
        </w:rPr>
        <w:t>β(t)</w:t>
      </w:r>
      <w:r>
        <w:rPr>
          <w:rFonts w:cstheme="minorHAnsi"/>
          <w:b/>
          <w:bCs/>
        </w:rPr>
        <w:t xml:space="preserve"> reductions and </w:t>
      </w:r>
      <w:r w:rsidRPr="00C370CE">
        <w:rPr>
          <w:rFonts w:cstheme="minorHAnsi"/>
          <w:b/>
          <w:bCs/>
          <w:i/>
          <w:iCs/>
        </w:rPr>
        <w:t>R</w:t>
      </w:r>
      <w:r w:rsidRPr="00C370CE">
        <w:rPr>
          <w:rFonts w:cstheme="minorHAnsi"/>
          <w:b/>
          <w:bCs/>
          <w:i/>
          <w:iCs/>
          <w:vertAlign w:val="subscript"/>
        </w:rPr>
        <w:t>e</w:t>
      </w:r>
      <w:r w:rsidRPr="001024F9">
        <w:rPr>
          <w:rFonts w:cstheme="minorHAnsi"/>
          <w:b/>
          <w:bCs/>
          <w:i/>
          <w:iCs/>
        </w:rPr>
        <w:t>(t)</w:t>
      </w:r>
      <w:r>
        <w:rPr>
          <w:rFonts w:cstheme="minorHAnsi"/>
          <w:b/>
          <w:bCs/>
        </w:rPr>
        <w:t xml:space="preserve"> for the five intervention scenarios</w:t>
      </w:r>
      <w:r w:rsidRPr="002029E5">
        <w:rPr>
          <w:rFonts w:cstheme="minorHAnsi"/>
          <w:b/>
          <w:bCs/>
        </w:rPr>
        <w:t xml:space="preserve">. </w:t>
      </w:r>
      <w:r w:rsidRPr="00EC6079">
        <w:rPr>
          <w:rFonts w:cstheme="minorHAnsi"/>
          <w:b/>
          <w:bCs/>
        </w:rPr>
        <w:t xml:space="preserve">B) </w:t>
      </w:r>
      <w:bookmarkStart w:id="1" w:name="_Hlk48038664"/>
      <w:r w:rsidRPr="00EC6079">
        <w:rPr>
          <w:rFonts w:cstheme="minorHAnsi"/>
          <w:b/>
          <w:bCs/>
        </w:rPr>
        <w:t xml:space="preserve">Sensitivity analysis for </w:t>
      </w:r>
      <w:r>
        <w:rPr>
          <w:rFonts w:cstheme="minorHAnsi"/>
          <w:b/>
          <w:bCs/>
        </w:rPr>
        <w:t>i</w:t>
      </w:r>
      <w:r w:rsidRPr="00EC6079">
        <w:rPr>
          <w:rFonts w:cstheme="minorHAnsi"/>
          <w:b/>
          <w:bCs/>
        </w:rPr>
        <w:t xml:space="preserve">ntervention trigger </w:t>
      </w:r>
      <w:r>
        <w:rPr>
          <w:rFonts w:cstheme="minorHAnsi"/>
          <w:b/>
          <w:bCs/>
        </w:rPr>
        <w:t>point</w:t>
      </w:r>
      <w:r w:rsidRPr="00EC6079">
        <w:rPr>
          <w:rFonts w:cstheme="minorHAnsi"/>
          <w:b/>
          <w:bCs/>
        </w:rPr>
        <w:t xml:space="preserve"> (</w:t>
      </w:r>
      <w:r w:rsidRPr="00EC6079">
        <w:rPr>
          <w:rFonts w:cstheme="minorHAnsi"/>
          <w:b/>
          <w:bCs/>
          <w:i/>
          <w:iCs/>
        </w:rPr>
        <w:t>t</w:t>
      </w:r>
      <w:r w:rsidRPr="00EC6079">
        <w:rPr>
          <w:rFonts w:cstheme="minorHAnsi"/>
          <w:b/>
          <w:bCs/>
          <w:i/>
          <w:iCs/>
          <w:vertAlign w:val="subscript"/>
        </w:rPr>
        <w:t>p</w:t>
      </w:r>
      <w:r w:rsidRPr="00EC6079">
        <w:rPr>
          <w:rFonts w:cstheme="minorHAnsi"/>
          <w:b/>
          <w:bCs/>
        </w:rPr>
        <w:t>), magnitude (</w:t>
      </w:r>
      <w:r w:rsidRPr="00EC6079">
        <w:rPr>
          <w:rFonts w:cstheme="minorHAnsi"/>
          <w:b/>
          <w:bCs/>
          <w:i/>
          <w:iCs/>
        </w:rPr>
        <w:t>c</w:t>
      </w:r>
      <w:r w:rsidRPr="00EC6079">
        <w:rPr>
          <w:rFonts w:cstheme="minorHAnsi"/>
          <w:b/>
          <w:bCs/>
          <w:i/>
          <w:iCs/>
          <w:vertAlign w:val="subscript"/>
        </w:rPr>
        <w:t>min</w:t>
      </w:r>
      <w:r w:rsidRPr="00EC6079">
        <w:rPr>
          <w:rFonts w:cstheme="minorHAnsi"/>
          <w:b/>
          <w:bCs/>
        </w:rPr>
        <w:t>) and duration (</w:t>
      </w:r>
      <w:r w:rsidRPr="00EC6079">
        <w:rPr>
          <w:rFonts w:cstheme="minorHAnsi"/>
          <w:b/>
          <w:bCs/>
          <w:i/>
          <w:iCs/>
        </w:rPr>
        <w:t>d</w:t>
      </w:r>
      <w:r w:rsidRPr="00EC6079">
        <w:rPr>
          <w:rFonts w:cstheme="minorHAnsi"/>
          <w:b/>
          <w:bCs/>
          <w:i/>
          <w:iCs/>
          <w:vertAlign w:val="subscript"/>
        </w:rPr>
        <w:t>t</w:t>
      </w:r>
      <w:r w:rsidRPr="00EC6079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to minimise the </w:t>
      </w:r>
      <w:r w:rsidRPr="00CB2A0D">
        <w:rPr>
          <w:rFonts w:cstheme="minorHAnsi"/>
          <w:b/>
          <w:bCs/>
        </w:rPr>
        <w:t>peak</w:t>
      </w:r>
      <w:r>
        <w:rPr>
          <w:rFonts w:cstheme="minorHAnsi"/>
          <w:b/>
          <w:bCs/>
        </w:rPr>
        <w:t xml:space="preserve"> prevalence, </w:t>
      </w:r>
      <w:r w:rsidRPr="001B4082">
        <w:rPr>
          <w:rFonts w:cstheme="minorHAnsi"/>
          <w:b/>
          <w:bCs/>
          <w:i/>
          <w:iCs/>
        </w:rPr>
        <w:t>I</w:t>
      </w:r>
      <w:r w:rsidRPr="001B4082">
        <w:rPr>
          <w:rFonts w:cstheme="minorHAnsi"/>
          <w:b/>
          <w:bCs/>
          <w:i/>
          <w:iCs/>
          <w:vertAlign w:val="subscript"/>
        </w:rPr>
        <w:t>max</w:t>
      </w:r>
      <w:r>
        <w:rPr>
          <w:rFonts w:cstheme="minorHAnsi"/>
          <w:b/>
          <w:bCs/>
        </w:rPr>
        <w:t>,</w:t>
      </w:r>
      <w:r w:rsidRPr="00CB2A0D">
        <w:rPr>
          <w:rFonts w:cstheme="minorHAnsi"/>
          <w:b/>
          <w:bCs/>
        </w:rPr>
        <w:t xml:space="preserve"> and </w:t>
      </w:r>
      <w:r>
        <w:rPr>
          <w:rFonts w:cstheme="minorHAnsi"/>
          <w:b/>
          <w:bCs/>
        </w:rPr>
        <w:t xml:space="preserve">attack rate, </w:t>
      </w:r>
      <w:r w:rsidRPr="001B4082">
        <w:rPr>
          <w:rFonts w:cstheme="minorHAnsi"/>
          <w:b/>
          <w:bCs/>
          <w:i/>
          <w:iCs/>
        </w:rPr>
        <w:t>I</w:t>
      </w:r>
      <w:r w:rsidRPr="001B4082">
        <w:rPr>
          <w:rFonts w:cstheme="minorHAnsi"/>
          <w:b/>
          <w:bCs/>
          <w:i/>
          <w:iCs/>
          <w:vertAlign w:val="subscript"/>
        </w:rPr>
        <w:t>c</w:t>
      </w:r>
      <w:r w:rsidRPr="001B4082">
        <w:rPr>
          <w:rFonts w:cstheme="minorHAnsi"/>
          <w:b/>
          <w:bCs/>
          <w:i/>
          <w:iCs/>
        </w:rPr>
        <w:t>(</w:t>
      </w:r>
      <w:r>
        <w:rPr>
          <w:rFonts w:cstheme="minorHAnsi"/>
          <w:b/>
          <w:bCs/>
          <w:i/>
          <w:iCs/>
        </w:rPr>
        <w:t>t</w:t>
      </w:r>
      <w:r w:rsidRPr="00CF5AE9">
        <w:rPr>
          <w:rFonts w:cstheme="minorHAnsi"/>
          <w:b/>
          <w:bCs/>
          <w:i/>
          <w:iCs/>
          <w:vertAlign w:val="subscript"/>
        </w:rPr>
        <w:t>max</w:t>
      </w:r>
      <w:r>
        <w:rPr>
          <w:rFonts w:cstheme="minorHAnsi"/>
          <w:b/>
          <w:bCs/>
          <w:i/>
          <w:iCs/>
        </w:rPr>
        <w:t>)</w:t>
      </w:r>
      <w:r w:rsidRPr="00CB2A0D">
        <w:rPr>
          <w:rFonts w:cstheme="minorHAnsi"/>
          <w:b/>
          <w:bCs/>
        </w:rPr>
        <w:t>.</w:t>
      </w:r>
      <w:bookmarkEnd w:id="1"/>
      <w:r>
        <w:rPr>
          <w:rFonts w:cstheme="minorHAnsi"/>
          <w:b/>
          <w:bCs/>
        </w:rPr>
        <w:t xml:space="preserve"> </w:t>
      </w:r>
      <w:r w:rsidRPr="00F7377F">
        <w:rPr>
          <w:rFonts w:cstheme="minorHAnsi"/>
        </w:rPr>
        <w:t>F</w:t>
      </w:r>
      <w:r w:rsidRPr="00EC6079">
        <w:rPr>
          <w:rFonts w:cstheme="minorHAnsi"/>
        </w:rPr>
        <w:t>or A)</w:t>
      </w:r>
      <w:r>
        <w:rPr>
          <w:rFonts w:cstheme="minorHAnsi"/>
        </w:rPr>
        <w:t xml:space="preserve"> pale red and blue lines depict</w:t>
      </w:r>
      <w:r w:rsidRPr="00036AD2">
        <w:rPr>
          <w:rFonts w:cstheme="minorHAnsi"/>
        </w:rPr>
        <w:t xml:space="preserve"> unmitigated epidemic curve dynamics</w:t>
      </w:r>
      <w:r>
        <w:rPr>
          <w:rFonts w:cstheme="minorHAnsi"/>
        </w:rPr>
        <w:t>,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b</w:t>
      </w:r>
      <w:r w:rsidRPr="009E647B">
        <w:rPr>
          <w:rFonts w:cstheme="minorHAnsi"/>
        </w:rPr>
        <w:t>lue shading indicates the intervention</w:t>
      </w:r>
      <w:r>
        <w:rPr>
          <w:rFonts w:cstheme="minorHAnsi"/>
        </w:rPr>
        <w:t xml:space="preserve"> period and the d</w:t>
      </w:r>
      <w:r w:rsidRPr="009E647B">
        <w:rPr>
          <w:rFonts w:cstheme="minorHAnsi"/>
        </w:rPr>
        <w:t xml:space="preserve">otted line </w:t>
      </w:r>
      <w:r>
        <w:rPr>
          <w:rFonts w:cstheme="minorHAnsi"/>
        </w:rPr>
        <w:t xml:space="preserve">depicts the </w:t>
      </w:r>
      <w:r w:rsidRPr="00F7377F">
        <w:rPr>
          <w:rFonts w:cstheme="minorHAnsi"/>
          <w:i/>
          <w:iCs/>
        </w:rPr>
        <w:t>R</w:t>
      </w:r>
      <w:r w:rsidRPr="00F7377F">
        <w:rPr>
          <w:rFonts w:cstheme="minorHAnsi"/>
          <w:i/>
          <w:iCs/>
          <w:vertAlign w:val="subscript"/>
        </w:rPr>
        <w:t>e</w:t>
      </w:r>
      <w:r w:rsidRPr="001024F9">
        <w:rPr>
          <w:rFonts w:cstheme="minorHAnsi"/>
          <w:i/>
          <w:iCs/>
        </w:rPr>
        <w:t>(t)</w:t>
      </w:r>
      <w:r>
        <w:rPr>
          <w:rFonts w:cstheme="minorHAnsi"/>
        </w:rPr>
        <w:t xml:space="preserve"> = 1.0 </w:t>
      </w:r>
      <w:r w:rsidRPr="009E647B">
        <w:rPr>
          <w:rFonts w:cstheme="minorHAnsi"/>
        </w:rPr>
        <w:t>threshold for sustained epidemic growth.</w:t>
      </w:r>
      <w:r>
        <w:rPr>
          <w:rFonts w:cstheme="minorHAnsi"/>
        </w:rPr>
        <w:t xml:space="preserve"> </w:t>
      </w:r>
      <w:r w:rsidRPr="00202F90">
        <w:rPr>
          <w:rFonts w:cstheme="minorHAnsi"/>
          <w:i/>
          <w:iCs/>
        </w:rPr>
        <w:t>I</w:t>
      </w:r>
      <w:r w:rsidRPr="00202F90">
        <w:rPr>
          <w:rFonts w:cstheme="minorHAnsi"/>
          <w:i/>
          <w:iCs/>
          <w:vertAlign w:val="subscript"/>
        </w:rPr>
        <w:t xml:space="preserve">max </w:t>
      </w:r>
      <w:r>
        <w:rPr>
          <w:rFonts w:cstheme="minorHAnsi"/>
        </w:rPr>
        <w:t xml:space="preserve">and </w:t>
      </w:r>
      <w:r w:rsidRPr="00202F90">
        <w:rPr>
          <w:rFonts w:cstheme="minorHAnsi"/>
          <w:i/>
          <w:iCs/>
        </w:rPr>
        <w:t>I</w:t>
      </w:r>
      <w:r w:rsidRPr="00202F90">
        <w:rPr>
          <w:rFonts w:cstheme="minorHAnsi"/>
          <w:i/>
          <w:iCs/>
          <w:vertAlign w:val="subscript"/>
        </w:rPr>
        <w:t>c</w:t>
      </w:r>
      <w:r w:rsidRPr="00202F90">
        <w:rPr>
          <w:rFonts w:cstheme="minorHAnsi"/>
          <w:i/>
          <w:iCs/>
        </w:rPr>
        <w:t>(t</w:t>
      </w:r>
      <w:r w:rsidRPr="00202F90">
        <w:rPr>
          <w:rFonts w:cstheme="minorHAnsi"/>
          <w:i/>
          <w:iCs/>
          <w:vertAlign w:val="subscript"/>
        </w:rPr>
        <w:t>max</w:t>
      </w:r>
      <w:r w:rsidRPr="00202F90">
        <w:rPr>
          <w:rFonts w:cstheme="minorHAnsi"/>
          <w:i/>
          <w:iCs/>
        </w:rPr>
        <w:t>)</w:t>
      </w:r>
      <w:r>
        <w:rPr>
          <w:rFonts w:cstheme="minorHAnsi"/>
        </w:rPr>
        <w:t xml:space="preserve"> </w:t>
      </w:r>
      <w:r w:rsidRPr="009662D7">
        <w:rPr>
          <w:rFonts w:cstheme="minorHAnsi"/>
        </w:rPr>
        <w:t xml:space="preserve">values are annotated for </w:t>
      </w:r>
      <w:r w:rsidRPr="005132A9">
        <w:rPr>
          <w:rFonts w:cstheme="minorHAnsi"/>
        </w:rPr>
        <w:t>each scenario.</w:t>
      </w:r>
      <w:r w:rsidRPr="005132A9">
        <w:rPr>
          <w:rFonts w:cstheme="minorHAnsi"/>
          <w:b/>
          <w:bCs/>
        </w:rPr>
        <w:t xml:space="preserve"> </w:t>
      </w:r>
      <w:r w:rsidRPr="005132A9">
        <w:rPr>
          <w:rFonts w:ascii="Calibri" w:hAnsi="Calibri" w:cs="Calibri"/>
        </w:rPr>
        <w:t xml:space="preserve">Note that for B) the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axis for scenario 1 was transformed into a relative axis to allow for comparison across scenarios, with the relative axis of 0 ≤ </w:t>
      </w:r>
      <w:r w:rsidRPr="00D72507">
        <w:rPr>
          <w:rFonts w:ascii="Calibri" w:hAnsi="Calibri" w:cs="Calibri"/>
          <w:i/>
          <w:iCs/>
        </w:rPr>
        <w:t>d</w:t>
      </w:r>
      <w:r w:rsidRPr="00D72507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≤ 400 being equal to an absolute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range of 0 ≤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≤ 200.  </w:t>
      </w:r>
    </w:p>
    <w:p w14:paraId="7982422B" w14:textId="77777777" w:rsidR="00193BA3" w:rsidRDefault="00193BA3" w:rsidP="00193BA3">
      <w:pPr>
        <w:spacing w:after="0" w:line="360" w:lineRule="auto"/>
        <w:jc w:val="both"/>
        <w:rPr>
          <w:rFonts w:cstheme="minorHAnsi"/>
          <w:b/>
          <w:bCs/>
          <w:u w:val="single"/>
        </w:rPr>
      </w:pPr>
    </w:p>
    <w:p w14:paraId="7CEE1E3F" w14:textId="77777777" w:rsidR="00193BA3" w:rsidRPr="00C13B7B" w:rsidRDefault="00193BA3" w:rsidP="00193BA3">
      <w:pPr>
        <w:spacing w:after="0" w:line="360" w:lineRule="auto"/>
        <w:jc w:val="center"/>
        <w:rPr>
          <w:rFonts w:cstheme="minorHAnsi"/>
        </w:rPr>
      </w:pPr>
      <w:r>
        <w:rPr>
          <w:noProof/>
          <w:lang w:eastAsia="en-GB"/>
        </w:rPr>
        <w:lastRenderedPageBreak/>
        <w:drawing>
          <wp:inline distT="0" distB="0" distL="0" distR="0" wp14:anchorId="0E188816" wp14:editId="5E296957">
            <wp:extent cx="4897762" cy="7836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177" cy="78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646D" w14:textId="77777777" w:rsidR="00193BA3" w:rsidRDefault="00193BA3" w:rsidP="00193BA3">
      <w:pPr>
        <w:spacing w:after="0" w:line="360" w:lineRule="auto"/>
        <w:jc w:val="both"/>
        <w:rPr>
          <w:rFonts w:ascii="Calibri" w:hAnsi="Calibri" w:cs="Calibri"/>
        </w:rPr>
      </w:pPr>
      <w:r w:rsidRPr="00C13B7B">
        <w:rPr>
          <w:rFonts w:cstheme="minorHAnsi"/>
          <w:b/>
          <w:bCs/>
        </w:rPr>
        <w:t xml:space="preserve">Figure </w:t>
      </w:r>
      <w:r>
        <w:rPr>
          <w:rFonts w:cstheme="minorHAnsi"/>
          <w:b/>
          <w:bCs/>
        </w:rPr>
        <w:t>2</w:t>
      </w:r>
      <w:r w:rsidRPr="00C13B7B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Sensitivity analysis for the peak prevalence, </w:t>
      </w:r>
      <w:r w:rsidRPr="001B4082">
        <w:rPr>
          <w:rFonts w:cstheme="minorHAnsi"/>
          <w:b/>
          <w:bCs/>
          <w:i/>
          <w:iCs/>
        </w:rPr>
        <w:t>I</w:t>
      </w:r>
      <w:r w:rsidRPr="001B4082">
        <w:rPr>
          <w:rFonts w:cstheme="minorHAnsi"/>
          <w:b/>
          <w:bCs/>
          <w:i/>
          <w:iCs/>
          <w:vertAlign w:val="subscript"/>
        </w:rPr>
        <w:t>max</w:t>
      </w:r>
      <w:r>
        <w:rPr>
          <w:rFonts w:cstheme="minorHAnsi"/>
          <w:b/>
          <w:bCs/>
        </w:rPr>
        <w:t xml:space="preserve">, and attack rate, </w:t>
      </w:r>
      <w:r w:rsidRPr="001B4082">
        <w:rPr>
          <w:rFonts w:cstheme="minorHAnsi"/>
          <w:b/>
          <w:bCs/>
          <w:i/>
          <w:iCs/>
        </w:rPr>
        <w:t>I</w:t>
      </w:r>
      <w:r w:rsidRPr="001B4082">
        <w:rPr>
          <w:rFonts w:cstheme="minorHAnsi"/>
          <w:b/>
          <w:bCs/>
          <w:i/>
          <w:iCs/>
          <w:vertAlign w:val="subscript"/>
        </w:rPr>
        <w:t>c</w:t>
      </w:r>
      <w:r w:rsidRPr="001B4082">
        <w:rPr>
          <w:rFonts w:cstheme="minorHAnsi"/>
          <w:b/>
          <w:bCs/>
          <w:i/>
          <w:iCs/>
        </w:rPr>
        <w:t>(</w:t>
      </w:r>
      <w:r w:rsidRPr="00CF5AE9">
        <w:rPr>
          <w:rFonts w:cstheme="minorHAnsi"/>
          <w:b/>
          <w:bCs/>
          <w:i/>
          <w:iCs/>
        </w:rPr>
        <w:t>t</w:t>
      </w:r>
      <w:r w:rsidRPr="00CF5AE9">
        <w:rPr>
          <w:rFonts w:cstheme="minorHAnsi"/>
          <w:b/>
          <w:bCs/>
          <w:i/>
          <w:iCs/>
          <w:vertAlign w:val="subscript"/>
        </w:rPr>
        <w:t>max</w:t>
      </w:r>
      <w:r w:rsidRPr="001B4082">
        <w:rPr>
          <w:rFonts w:cstheme="minorHAnsi"/>
          <w:b/>
          <w:bCs/>
          <w:i/>
          <w:iCs/>
        </w:rPr>
        <w:t>)</w:t>
      </w:r>
      <w:r>
        <w:rPr>
          <w:rFonts w:cstheme="minorHAnsi"/>
          <w:b/>
          <w:bCs/>
        </w:rPr>
        <w:t xml:space="preserve">, for intervention trigger point, </w:t>
      </w:r>
      <w:r w:rsidRPr="003306B0">
        <w:rPr>
          <w:rFonts w:cstheme="minorHAnsi"/>
          <w:b/>
          <w:bCs/>
          <w:i/>
          <w:iCs/>
        </w:rPr>
        <w:t>t</w:t>
      </w:r>
      <w:r w:rsidRPr="003306B0">
        <w:rPr>
          <w:rFonts w:cstheme="minorHAnsi"/>
          <w:b/>
          <w:bCs/>
          <w:i/>
          <w:iCs/>
          <w:vertAlign w:val="subscript"/>
        </w:rPr>
        <w:t>p</w:t>
      </w:r>
      <w:r>
        <w:rPr>
          <w:rFonts w:cstheme="minorHAnsi"/>
          <w:b/>
          <w:bCs/>
        </w:rPr>
        <w:t xml:space="preserve">, and duration, </w:t>
      </w:r>
      <w:r w:rsidRPr="001B4082">
        <w:rPr>
          <w:rFonts w:cstheme="minorHAnsi"/>
          <w:b/>
          <w:bCs/>
          <w:i/>
          <w:iCs/>
        </w:rPr>
        <w:t>d</w:t>
      </w:r>
      <w:r w:rsidRPr="001B4082">
        <w:rPr>
          <w:rFonts w:cstheme="minorHAnsi"/>
          <w:b/>
          <w:bCs/>
          <w:i/>
          <w:iCs/>
          <w:vertAlign w:val="subscript"/>
        </w:rPr>
        <w:t>t</w:t>
      </w:r>
      <w:r>
        <w:rPr>
          <w:rFonts w:cstheme="minorHAnsi"/>
          <w:b/>
          <w:bCs/>
        </w:rPr>
        <w:t xml:space="preserve">. </w:t>
      </w:r>
      <w:r w:rsidRPr="005132A9">
        <w:rPr>
          <w:rFonts w:ascii="Calibri" w:hAnsi="Calibri" w:cs="Calibri"/>
        </w:rPr>
        <w:t xml:space="preserve">Note that the scenario 1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axis was transformed into a relative axis to allow for comparison across scenarios, with the relative axis of 0 ≤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≤ </w:t>
      </w:r>
      <w:r>
        <w:rPr>
          <w:rFonts w:ascii="Calibri" w:hAnsi="Calibri" w:cs="Calibri"/>
        </w:rPr>
        <w:t>250</w:t>
      </w:r>
      <w:r w:rsidRPr="005132A9">
        <w:rPr>
          <w:rFonts w:ascii="Calibri" w:hAnsi="Calibri" w:cs="Calibri"/>
        </w:rPr>
        <w:t xml:space="preserve"> being equal to an absolute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range of 0 ≤ </w:t>
      </w:r>
      <w:r w:rsidRPr="005132A9">
        <w:rPr>
          <w:rFonts w:ascii="Calibri" w:hAnsi="Calibri" w:cs="Calibri"/>
          <w:i/>
          <w:iCs/>
        </w:rPr>
        <w:t>d</w:t>
      </w:r>
      <w:r w:rsidRPr="005132A9">
        <w:rPr>
          <w:rFonts w:ascii="Calibri" w:hAnsi="Calibri" w:cs="Calibri"/>
          <w:i/>
          <w:iCs/>
          <w:vertAlign w:val="subscript"/>
        </w:rPr>
        <w:t>t</w:t>
      </w:r>
      <w:r w:rsidRPr="005132A9">
        <w:rPr>
          <w:rFonts w:ascii="Calibri" w:hAnsi="Calibri" w:cs="Calibri"/>
        </w:rPr>
        <w:t xml:space="preserve"> ≤ </w:t>
      </w:r>
      <w:r>
        <w:rPr>
          <w:rFonts w:ascii="Calibri" w:hAnsi="Calibri" w:cs="Calibri"/>
        </w:rPr>
        <w:t>125</w:t>
      </w:r>
      <w:r w:rsidRPr="005132A9">
        <w:rPr>
          <w:rFonts w:ascii="Calibri" w:hAnsi="Calibri" w:cs="Calibri"/>
        </w:rPr>
        <w:t xml:space="preserve">.  </w:t>
      </w:r>
    </w:p>
    <w:p w14:paraId="2BC63B8B" w14:textId="77777777" w:rsidR="00193BA3" w:rsidRDefault="00193BA3" w:rsidP="00193BA3">
      <w:pPr>
        <w:spacing w:after="0" w:line="360" w:lineRule="auto"/>
        <w:jc w:val="center"/>
        <w:rPr>
          <w:rFonts w:cstheme="minorHAnsi"/>
          <w:b/>
          <w:bCs/>
        </w:rPr>
      </w:pPr>
      <w:r>
        <w:rPr>
          <w:noProof/>
          <w:lang w:eastAsia="en-GB"/>
        </w:rPr>
        <w:lastRenderedPageBreak/>
        <w:drawing>
          <wp:inline distT="0" distB="0" distL="0" distR="0" wp14:anchorId="300D4411" wp14:editId="07F90DBB">
            <wp:extent cx="5731510" cy="6113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7073B" w14:textId="77777777" w:rsidR="00193BA3" w:rsidRDefault="00193BA3" w:rsidP="00193BA3">
      <w:pPr>
        <w:spacing w:after="0" w:line="360" w:lineRule="auto"/>
        <w:jc w:val="both"/>
        <w:rPr>
          <w:rFonts w:cstheme="minorHAnsi"/>
        </w:rPr>
      </w:pPr>
      <w:bookmarkStart w:id="2" w:name="_Hlk48034928"/>
      <w:r w:rsidRPr="00C13B7B">
        <w:rPr>
          <w:rFonts w:cstheme="minorHAnsi"/>
          <w:b/>
          <w:bCs/>
        </w:rPr>
        <w:t xml:space="preserve">Figure </w:t>
      </w:r>
      <w:r>
        <w:rPr>
          <w:rFonts w:cstheme="minorHAnsi"/>
          <w:b/>
          <w:bCs/>
        </w:rPr>
        <w:t>3</w:t>
      </w:r>
      <w:r w:rsidRPr="00C13B7B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 xml:space="preserve">A) Sensitivity analysis for the peak prevalence, </w:t>
      </w:r>
      <w:r w:rsidRPr="00843E33">
        <w:rPr>
          <w:rFonts w:cstheme="minorHAnsi"/>
          <w:b/>
          <w:bCs/>
          <w:i/>
          <w:iCs/>
        </w:rPr>
        <w:t>I</w:t>
      </w:r>
      <w:r w:rsidRPr="00843E33">
        <w:rPr>
          <w:rFonts w:cstheme="minorHAnsi"/>
          <w:b/>
          <w:bCs/>
          <w:i/>
          <w:iCs/>
          <w:vertAlign w:val="subscript"/>
        </w:rPr>
        <w:t>max</w:t>
      </w:r>
      <w:r>
        <w:rPr>
          <w:rFonts w:cstheme="minorHAnsi"/>
          <w:b/>
          <w:bCs/>
        </w:rPr>
        <w:t xml:space="preserve">, and attack rate, </w:t>
      </w:r>
      <w:r w:rsidRPr="000F1431">
        <w:rPr>
          <w:rFonts w:cstheme="minorHAnsi"/>
          <w:b/>
          <w:bCs/>
          <w:i/>
          <w:iCs/>
        </w:rPr>
        <w:t>I</w:t>
      </w:r>
      <w:r w:rsidRPr="000F1431">
        <w:rPr>
          <w:rFonts w:cstheme="minorHAnsi"/>
          <w:b/>
          <w:bCs/>
          <w:i/>
          <w:iCs/>
          <w:vertAlign w:val="subscript"/>
        </w:rPr>
        <w:t>c</w:t>
      </w:r>
      <w:r>
        <w:rPr>
          <w:rFonts w:cstheme="minorHAnsi"/>
          <w:b/>
          <w:bCs/>
        </w:rPr>
        <w:t>(</w:t>
      </w:r>
      <w:r w:rsidRPr="00CF5AE9">
        <w:rPr>
          <w:rFonts w:cstheme="minorHAnsi"/>
          <w:b/>
          <w:bCs/>
          <w:i/>
          <w:iCs/>
        </w:rPr>
        <w:t>t</w:t>
      </w:r>
      <w:r w:rsidRPr="00CF5AE9">
        <w:rPr>
          <w:rFonts w:cstheme="minorHAnsi"/>
          <w:b/>
          <w:bCs/>
          <w:i/>
          <w:iCs/>
          <w:vertAlign w:val="subscript"/>
        </w:rPr>
        <w:t>max</w:t>
      </w:r>
      <w:r>
        <w:rPr>
          <w:rFonts w:cstheme="minorHAnsi"/>
          <w:b/>
          <w:bCs/>
        </w:rPr>
        <w:t xml:space="preserve">), for intervention 1 trigger point, </w:t>
      </w:r>
      <w:r w:rsidRPr="00843E33">
        <w:rPr>
          <w:rFonts w:cstheme="minorHAnsi"/>
          <w:b/>
          <w:bCs/>
          <w:i/>
          <w:iCs/>
        </w:rPr>
        <w:t>t</w:t>
      </w:r>
      <w:r w:rsidRPr="00843E33">
        <w:rPr>
          <w:rFonts w:cstheme="minorHAnsi"/>
          <w:b/>
          <w:bCs/>
          <w:i/>
          <w:iCs/>
          <w:vertAlign w:val="subscript"/>
        </w:rPr>
        <w:t>p1</w:t>
      </w:r>
      <w:r>
        <w:rPr>
          <w:rFonts w:cstheme="minorHAnsi"/>
          <w:b/>
          <w:bCs/>
        </w:rPr>
        <w:t xml:space="preserve">, and intervention 2 trigger point, </w:t>
      </w:r>
      <w:r w:rsidRPr="00843E33">
        <w:rPr>
          <w:rFonts w:cstheme="minorHAnsi"/>
          <w:b/>
          <w:bCs/>
          <w:i/>
          <w:iCs/>
        </w:rPr>
        <w:t>t</w:t>
      </w:r>
      <w:r w:rsidRPr="00843E33">
        <w:rPr>
          <w:rFonts w:cstheme="minorHAnsi"/>
          <w:b/>
          <w:bCs/>
          <w:i/>
          <w:iCs/>
          <w:vertAlign w:val="subscript"/>
        </w:rPr>
        <w:t>p2</w:t>
      </w:r>
      <w:r>
        <w:rPr>
          <w:rFonts w:cstheme="minorHAnsi"/>
          <w:b/>
          <w:bCs/>
        </w:rPr>
        <w:t>. B)</w:t>
      </w:r>
      <w:r w:rsidRPr="00C13B7B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Sensitivity analysis for the</w:t>
      </w:r>
      <w:r w:rsidRPr="00843E33">
        <w:rPr>
          <w:rFonts w:cstheme="minorHAnsi"/>
          <w:b/>
          <w:bCs/>
        </w:rPr>
        <w:t xml:space="preserve"> </w:t>
      </w:r>
      <w:bookmarkStart w:id="3" w:name="_Hlk48037107"/>
      <w:r>
        <w:rPr>
          <w:rFonts w:cstheme="minorHAnsi"/>
          <w:b/>
          <w:bCs/>
        </w:rPr>
        <w:t xml:space="preserve">minimum value of scaling factor </w:t>
      </w:r>
      <w:r w:rsidRPr="000C7C7F">
        <w:rPr>
          <w:rFonts w:cstheme="minorHAnsi"/>
          <w:b/>
          <w:bCs/>
          <w:i/>
          <w:iCs/>
        </w:rPr>
        <w:t>c(t)</w:t>
      </w:r>
      <w:r>
        <w:rPr>
          <w:rFonts w:cstheme="minorHAnsi"/>
          <w:b/>
          <w:bCs/>
        </w:rPr>
        <w:t xml:space="preserve"> for intervention 1, </w:t>
      </w:r>
      <w:r w:rsidRPr="00843E33">
        <w:rPr>
          <w:rFonts w:cstheme="minorHAnsi"/>
          <w:b/>
          <w:bCs/>
          <w:i/>
          <w:iCs/>
        </w:rPr>
        <w:t>c</w:t>
      </w:r>
      <w:r w:rsidRPr="00843E33">
        <w:rPr>
          <w:rFonts w:cstheme="minorHAnsi"/>
          <w:b/>
          <w:bCs/>
          <w:i/>
          <w:iCs/>
          <w:vertAlign w:val="subscript"/>
        </w:rPr>
        <w:t>min1</w:t>
      </w:r>
      <w:r>
        <w:rPr>
          <w:rFonts w:cstheme="minorHAnsi"/>
          <w:b/>
          <w:bCs/>
        </w:rPr>
        <w:t xml:space="preserve">, and intervention 2, </w:t>
      </w:r>
      <w:r w:rsidRPr="00843E33">
        <w:rPr>
          <w:rFonts w:cstheme="minorHAnsi"/>
          <w:b/>
          <w:bCs/>
          <w:i/>
          <w:iCs/>
        </w:rPr>
        <w:t>c</w:t>
      </w:r>
      <w:r w:rsidRPr="00843E33">
        <w:rPr>
          <w:rFonts w:cstheme="minorHAnsi"/>
          <w:b/>
          <w:bCs/>
          <w:i/>
          <w:iCs/>
          <w:vertAlign w:val="subscript"/>
        </w:rPr>
        <w:t>min2</w:t>
      </w:r>
      <w:bookmarkEnd w:id="3"/>
      <w:r>
        <w:rPr>
          <w:rFonts w:cstheme="minorHAnsi"/>
          <w:b/>
          <w:bCs/>
        </w:rPr>
        <w:t>.</w:t>
      </w:r>
      <w:r w:rsidRPr="000C7C7F">
        <w:rPr>
          <w:rFonts w:cstheme="minorHAnsi"/>
        </w:rPr>
        <w:t xml:space="preserve"> </w:t>
      </w:r>
    </w:p>
    <w:bookmarkEnd w:id="2"/>
    <w:p w14:paraId="771F09D1" w14:textId="77777777" w:rsidR="00193BA3" w:rsidRDefault="00193BA3"/>
    <w:sectPr w:rsidR="0019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4A"/>
    <w:rsid w:val="00193BA3"/>
    <w:rsid w:val="001B6A4A"/>
    <w:rsid w:val="009421D2"/>
    <w:rsid w:val="00BC05D5"/>
    <w:rsid w:val="00D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839"/>
  <w15:chartTrackingRefBased/>
  <w15:docId w15:val="{528AE276-D20E-41AD-A529-BB08518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B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BA3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93B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3</cp:revision>
  <dcterms:created xsi:type="dcterms:W3CDTF">2020-12-04T11:45:00Z</dcterms:created>
  <dcterms:modified xsi:type="dcterms:W3CDTF">2020-12-07T15:21:00Z</dcterms:modified>
</cp:coreProperties>
</file>