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C6" w:rsidRDefault="00DB0FC6" w:rsidP="00D2089C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COVID-19 Modelling – Comparison of “Hidden” and “non-Visible” Infected Compartments </w:t>
      </w:r>
    </w:p>
    <w:p w:rsidR="0091490D" w:rsidRDefault="0091490D" w:rsidP="008C1700">
      <w:pPr>
        <w:spacing w:after="0" w:line="240" w:lineRule="auto"/>
        <w:rPr>
          <w:b/>
          <w:u w:val="single"/>
        </w:rPr>
      </w:pPr>
    </w:p>
    <w:p w:rsidR="00D2089C" w:rsidRDefault="00D2089C" w:rsidP="00966E59">
      <w:pPr>
        <w:spacing w:after="0" w:line="240" w:lineRule="auto"/>
        <w:jc w:val="center"/>
        <w:rPr>
          <w:b/>
          <w:u w:val="single"/>
        </w:rPr>
      </w:pPr>
      <w:r w:rsidRPr="00D2089C">
        <w:rPr>
          <w:b/>
          <w:u w:val="single"/>
        </w:rPr>
        <w:t>Method</w:t>
      </w:r>
      <w:r w:rsidR="00BD7361">
        <w:rPr>
          <w:b/>
          <w:u w:val="single"/>
        </w:rPr>
        <w:t xml:space="preserve">ology </w:t>
      </w:r>
    </w:p>
    <w:p w:rsidR="007D123D" w:rsidRDefault="007D123D" w:rsidP="00251F88">
      <w:pPr>
        <w:spacing w:after="0" w:line="240" w:lineRule="auto"/>
        <w:jc w:val="both"/>
      </w:pPr>
      <w:r>
        <w:t>Two SIR-based deterministic compartmental models were adapted to compare the epidemic curves obtained under two scenarios</w:t>
      </w:r>
      <w:r w:rsidR="003F002A">
        <w:t>/model structures</w:t>
      </w:r>
      <w:r>
        <w:t>:</w:t>
      </w:r>
    </w:p>
    <w:p w:rsidR="000621E0" w:rsidRDefault="000621E0" w:rsidP="00251F88">
      <w:pPr>
        <w:spacing w:after="0" w:line="240" w:lineRule="auto"/>
        <w:jc w:val="both"/>
      </w:pPr>
    </w:p>
    <w:p w:rsidR="007D123D" w:rsidRDefault="003F002A" w:rsidP="00251F88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The presence of a “visible” and</w:t>
      </w:r>
      <w:r w:rsidR="007D123D">
        <w:t xml:space="preserve"> “non-visible”</w:t>
      </w:r>
      <w:r>
        <w:t xml:space="preserve"> </w:t>
      </w:r>
      <w:r w:rsidR="007D123D">
        <w:t>infectious</w:t>
      </w:r>
      <w:r>
        <w:t xml:space="preserve"> infected</w:t>
      </w:r>
      <w:r w:rsidR="007D123D">
        <w:t xml:space="preserve"> compartment</w:t>
      </w:r>
      <w:r>
        <w:t xml:space="preserve"> (SIVR Model).</w:t>
      </w:r>
    </w:p>
    <w:p w:rsidR="003F002A" w:rsidRPr="007D123D" w:rsidRDefault="003F002A" w:rsidP="00251F88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The presence of a “hidden” and “non-hidden” infected compartment, with the “hidden” being non-infectious (SIHR Model). </w:t>
      </w:r>
    </w:p>
    <w:p w:rsidR="00D77A2B" w:rsidRDefault="00D77A2B" w:rsidP="00D77A2B">
      <w:pPr>
        <w:spacing w:after="0" w:line="240" w:lineRule="auto"/>
        <w:rPr>
          <w:b/>
          <w:u w:val="single"/>
        </w:rPr>
      </w:pPr>
    </w:p>
    <w:p w:rsidR="003F002A" w:rsidRDefault="003F002A" w:rsidP="0036757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SIHR Model</w:t>
      </w:r>
    </w:p>
    <w:p w:rsidR="004B6804" w:rsidRPr="004B6804" w:rsidRDefault="00953FFB" w:rsidP="004B6804">
      <w:pPr>
        <w:spacing w:after="0" w:line="240" w:lineRule="auto"/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SI-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SI</m:t>
          </m:r>
        </m:oMath>
      </m:oMathPara>
    </w:p>
    <w:p w:rsidR="004B6804" w:rsidRPr="004B6804" w:rsidRDefault="004B6804" w:rsidP="004B6804">
      <w:pPr>
        <w:spacing w:after="0" w:line="240" w:lineRule="auto"/>
        <w:jc w:val="both"/>
        <w:rPr>
          <w:rFonts w:ascii="Cambria Math" w:hAnsi="Cambria Math"/>
          <w:i/>
          <w:iCs/>
        </w:rPr>
      </w:pPr>
    </w:p>
    <w:p w:rsidR="004B6804" w:rsidRPr="004B6804" w:rsidRDefault="00953FFB" w:rsidP="004B6804">
      <w:pPr>
        <w:spacing w:after="0" w:line="240" w:lineRule="auto"/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SI-µI </m:t>
          </m:r>
        </m:oMath>
      </m:oMathPara>
    </w:p>
    <w:p w:rsidR="004B6804" w:rsidRPr="004B6804" w:rsidRDefault="004B6804" w:rsidP="004B6804">
      <w:pPr>
        <w:spacing w:after="0" w:line="240" w:lineRule="auto"/>
        <w:jc w:val="both"/>
        <w:rPr>
          <w:rFonts w:ascii="Cambria Math" w:hAnsi="Cambria Math"/>
          <w:i/>
          <w:iCs/>
        </w:rPr>
      </w:pPr>
    </w:p>
    <w:p w:rsidR="004B6804" w:rsidRPr="004B6804" w:rsidRDefault="00953FFB" w:rsidP="004B6804">
      <w:pPr>
        <w:spacing w:after="0" w:line="240" w:lineRule="auto"/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SI-µH </m:t>
          </m:r>
        </m:oMath>
      </m:oMathPara>
    </w:p>
    <w:p w:rsidR="004B6804" w:rsidRPr="004B6804" w:rsidRDefault="004B6804" w:rsidP="004B6804">
      <w:pPr>
        <w:spacing w:after="0" w:line="240" w:lineRule="auto"/>
        <w:jc w:val="both"/>
        <w:rPr>
          <w:rFonts w:ascii="Cambria Math" w:hAnsi="Cambria Math"/>
          <w:i/>
          <w:iCs/>
        </w:rPr>
      </w:pPr>
    </w:p>
    <w:p w:rsidR="004B6804" w:rsidRPr="004B6804" w:rsidRDefault="00953FFB" w:rsidP="004B6804">
      <w:pPr>
        <w:spacing w:after="0" w:line="240" w:lineRule="auto"/>
        <w:jc w:val="both"/>
        <w:rPr>
          <w:rFonts w:ascii="Cambria Math" w:hAnsi="Cambria Math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=µI+µH </m:t>
          </m:r>
        </m:oMath>
      </m:oMathPara>
    </w:p>
    <w:p w:rsidR="004B6804" w:rsidRPr="004B6804" w:rsidRDefault="004B6804" w:rsidP="003F002A">
      <w:pPr>
        <w:spacing w:after="0" w:line="240" w:lineRule="auto"/>
        <w:jc w:val="both"/>
      </w:pPr>
    </w:p>
    <w:p w:rsidR="004B6804" w:rsidRPr="004B6804" w:rsidRDefault="004B6804" w:rsidP="00251F88">
      <w:pPr>
        <w:spacing w:after="0" w:line="240" w:lineRule="auto"/>
        <w:jc w:val="both"/>
      </w:pPr>
      <w:r>
        <w:t xml:space="preserve">The SIHR </w:t>
      </w:r>
      <w:r w:rsidR="00DB5EB6">
        <w:t>model follows a generic SIR</w:t>
      </w:r>
      <w:r>
        <w:t xml:space="preserve"> model structure, with the addition of a hidden (H) compartment</w:t>
      </w:r>
      <w:r w:rsidR="00D77A2B">
        <w:t xml:space="preserve"> to represent</w:t>
      </w:r>
      <w:r w:rsidR="00966E59">
        <w:t xml:space="preserve"> the possibility for SARS-COV 2 infection to result in a non-infectious asymptomatic state, which progresses to </w:t>
      </w:r>
      <w:r w:rsidR="00DB5EB6">
        <w:t>a recovered state at a rate equal to the reciprocal of the duration of infectiousness</w:t>
      </w:r>
      <w:r w:rsidR="00F73764">
        <w:t xml:space="preserve"> (</w:t>
      </w:r>
      <w:r w:rsidR="00F73764">
        <w:rPr>
          <w:rFonts w:cstheme="minorHAnsi"/>
        </w:rPr>
        <w:t>µ</w:t>
      </w:r>
      <w:r w:rsidR="00F73764">
        <w:t>)</w:t>
      </w:r>
      <w:r w:rsidR="00966E59">
        <w:t>.</w:t>
      </w:r>
      <w:r w:rsidR="00BD7361">
        <w:t xml:space="preserve"> </w:t>
      </w:r>
      <w:r w:rsidR="00DD5A18">
        <w:t xml:space="preserve">An additional transmission parameter </w:t>
      </w:r>
      <w:r w:rsidR="00DB5EB6">
        <w:t>was</w:t>
      </w:r>
      <w:r w:rsidR="00B825C2">
        <w:t xml:space="preserve"> also introduced into this model (</w:t>
      </w:r>
      <w:r w:rsidR="00B825C2">
        <w:rPr>
          <w:rFonts w:cstheme="minorHAnsi"/>
        </w:rPr>
        <w:t>β</w:t>
      </w:r>
      <w:r w:rsidR="00B825C2" w:rsidRPr="00831EA2">
        <w:rPr>
          <w:vertAlign w:val="subscript"/>
        </w:rPr>
        <w:t>2</w:t>
      </w:r>
      <w:r w:rsidR="00B825C2">
        <w:t>)</w:t>
      </w:r>
      <w:r w:rsidR="00831EA2">
        <w:t>, to describe the poss</w:t>
      </w:r>
      <w:r w:rsidR="00BD7361">
        <w:t xml:space="preserve">ibility for an enhanced </w:t>
      </w:r>
      <w:r w:rsidR="00831EA2">
        <w:t>infectious transmission rate</w:t>
      </w:r>
      <w:r w:rsidR="00BD7361">
        <w:t xml:space="preserve"> </w:t>
      </w:r>
      <w:r w:rsidR="00831EA2">
        <w:t>that result</w:t>
      </w:r>
      <w:r w:rsidR="00DB5EB6">
        <w:t>s</w:t>
      </w:r>
      <w:r w:rsidR="00831EA2">
        <w:t xml:space="preserve"> in “hidden” infections</w:t>
      </w:r>
      <w:r w:rsidR="00BD7361">
        <w:t xml:space="preserve"> (relative to those which cause “normal” infection – </w:t>
      </w:r>
      <w:r w:rsidR="00BD7361">
        <w:rPr>
          <w:rFonts w:cstheme="minorHAnsi"/>
        </w:rPr>
        <w:t>β</w:t>
      </w:r>
      <w:r w:rsidR="00BD7361" w:rsidRPr="00BD7361">
        <w:rPr>
          <w:vertAlign w:val="subscript"/>
        </w:rPr>
        <w:t>1</w:t>
      </w:r>
      <w:r w:rsidR="00BD7361">
        <w:t>)</w:t>
      </w:r>
      <w:r w:rsidR="00831EA2">
        <w:t>.</w:t>
      </w:r>
      <w:r w:rsidR="00BD7361">
        <w:t xml:space="preserve"> Infections in this “hidden” compartment are driven </w:t>
      </w:r>
      <w:r w:rsidR="00561970">
        <w:t>solely</w:t>
      </w:r>
      <w:r w:rsidR="00561970">
        <w:t xml:space="preserve"> </w:t>
      </w:r>
      <w:r w:rsidR="00BD7361">
        <w:t xml:space="preserve">by those who </w:t>
      </w:r>
      <w:r w:rsidR="00F73764">
        <w:t xml:space="preserve">are </w:t>
      </w:r>
      <w:r w:rsidR="00BD7361">
        <w:t>in a “non-hidden” infectious disease state.</w:t>
      </w:r>
    </w:p>
    <w:p w:rsidR="004B6804" w:rsidRDefault="004B6804" w:rsidP="003F002A">
      <w:pPr>
        <w:spacing w:after="0" w:line="240" w:lineRule="auto"/>
        <w:jc w:val="both"/>
        <w:rPr>
          <w:b/>
          <w:u w:val="single"/>
        </w:rPr>
      </w:pPr>
    </w:p>
    <w:p w:rsidR="00251F88" w:rsidRPr="00251F88" w:rsidRDefault="00251F88" w:rsidP="00251F88">
      <w:pPr>
        <w:spacing w:after="0" w:line="240" w:lineRule="auto"/>
        <w:rPr>
          <w:b/>
        </w:rPr>
      </w:pPr>
      <w:r w:rsidRPr="00251F88">
        <w:rPr>
          <w:b/>
        </w:rPr>
        <w:t xml:space="preserve">Table 1 </w:t>
      </w:r>
      <w:r w:rsidR="0036757F">
        <w:rPr>
          <w:b/>
        </w:rPr>
        <w:t>–</w:t>
      </w:r>
      <w:r w:rsidRPr="00251F88">
        <w:rPr>
          <w:b/>
        </w:rPr>
        <w:t xml:space="preserve"> </w:t>
      </w:r>
      <w:r w:rsidR="0036757F">
        <w:rPr>
          <w:b/>
        </w:rPr>
        <w:t xml:space="preserve">Parameter descriptions for the SIHR model 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7458"/>
      </w:tblGrid>
      <w:tr w:rsidR="00251F88" w:rsidTr="00384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251F88" w:rsidRPr="0091490D" w:rsidRDefault="00251F88" w:rsidP="003846F6">
            <w:pPr>
              <w:spacing w:line="276" w:lineRule="auto"/>
            </w:pPr>
            <w:r w:rsidRPr="0091490D">
              <w:t>Parameter</w:t>
            </w:r>
          </w:p>
        </w:tc>
        <w:tc>
          <w:tcPr>
            <w:tcW w:w="7458" w:type="dxa"/>
          </w:tcPr>
          <w:p w:rsidR="00251F88" w:rsidRPr="0091490D" w:rsidRDefault="00251F88" w:rsidP="003846F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490D">
              <w:t xml:space="preserve">Description </w:t>
            </w:r>
          </w:p>
        </w:tc>
      </w:tr>
      <w:tr w:rsidR="00251F88" w:rsidTr="0038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251F88" w:rsidRPr="00251F88" w:rsidRDefault="00251F88" w:rsidP="003846F6">
            <w:pPr>
              <w:spacing w:line="276" w:lineRule="auto"/>
              <w:jc w:val="center"/>
              <w:rPr>
                <w:b w:val="0"/>
              </w:rPr>
            </w:pPr>
            <w:r w:rsidRPr="00251F88">
              <w:rPr>
                <w:rFonts w:cstheme="minorHAnsi"/>
                <w:b w:val="0"/>
              </w:rPr>
              <w:t>β</w:t>
            </w:r>
            <w:r w:rsidRPr="00251F88">
              <w:rPr>
                <w:rFonts w:cstheme="minorHAnsi"/>
                <w:b w:val="0"/>
                <w:vertAlign w:val="subscript"/>
              </w:rPr>
              <w:t>1</w:t>
            </w:r>
          </w:p>
        </w:tc>
        <w:tc>
          <w:tcPr>
            <w:tcW w:w="7458" w:type="dxa"/>
          </w:tcPr>
          <w:p w:rsidR="00251F88" w:rsidRDefault="00DD5A18" w:rsidP="00DB5E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DD5A18">
              <w:t xml:space="preserve">Per capita </w:t>
            </w:r>
            <w:r>
              <w:t xml:space="preserve">rate of transmission that result in </w:t>
            </w:r>
            <w:r w:rsidR="00B825C2">
              <w:t xml:space="preserve">“non-hidden” infections. </w:t>
            </w:r>
          </w:p>
        </w:tc>
      </w:tr>
      <w:tr w:rsidR="00BD7361" w:rsidTr="003846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BD7361" w:rsidRPr="00251F88" w:rsidRDefault="00BD7361" w:rsidP="00BD7361">
            <w:pPr>
              <w:spacing w:line="276" w:lineRule="auto"/>
              <w:jc w:val="center"/>
              <w:rPr>
                <w:b w:val="0"/>
              </w:rPr>
            </w:pPr>
            <w:r w:rsidRPr="00251F88">
              <w:rPr>
                <w:rFonts w:cstheme="minorHAnsi"/>
                <w:b w:val="0"/>
              </w:rPr>
              <w:t>β</w:t>
            </w:r>
            <w:r w:rsidRPr="00251F88">
              <w:rPr>
                <w:rFonts w:cstheme="minorHAnsi"/>
                <w:b w:val="0"/>
                <w:vertAlign w:val="subscript"/>
              </w:rPr>
              <w:t>2</w:t>
            </w:r>
          </w:p>
        </w:tc>
        <w:tc>
          <w:tcPr>
            <w:tcW w:w="7458" w:type="dxa"/>
          </w:tcPr>
          <w:p w:rsidR="00BD7361" w:rsidRDefault="00BD7361" w:rsidP="00DB5E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DD5A18">
              <w:t xml:space="preserve">Per capita </w:t>
            </w:r>
            <w:r>
              <w:t xml:space="preserve">rate of transmission that result in “hidden” infections. </w:t>
            </w:r>
          </w:p>
        </w:tc>
      </w:tr>
      <w:tr w:rsidR="00BD7361" w:rsidTr="0038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BD7361" w:rsidRPr="00251F88" w:rsidRDefault="00BD7361" w:rsidP="00BD7361">
            <w:pPr>
              <w:spacing w:line="276" w:lineRule="auto"/>
              <w:jc w:val="center"/>
              <w:rPr>
                <w:b w:val="0"/>
              </w:rPr>
            </w:pPr>
            <w:r w:rsidRPr="00251F88">
              <w:rPr>
                <w:rFonts w:cstheme="minorHAnsi"/>
                <w:b w:val="0"/>
              </w:rPr>
              <w:t>µ</w:t>
            </w:r>
          </w:p>
        </w:tc>
        <w:tc>
          <w:tcPr>
            <w:tcW w:w="7458" w:type="dxa"/>
          </w:tcPr>
          <w:p w:rsidR="00BD7361" w:rsidRDefault="00F73764" w:rsidP="00BD73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t>P</w:t>
            </w:r>
            <w:r w:rsidR="00BD7361" w:rsidRPr="00DD5A18">
              <w:t>er capita rate of disease recovery, or the reciprocal of the average duration of infectiousness or the reciprocal of the generation time (in the absence of a latency period)</w:t>
            </w:r>
          </w:p>
        </w:tc>
      </w:tr>
    </w:tbl>
    <w:p w:rsidR="00251F88" w:rsidRDefault="00251F88" w:rsidP="003F002A">
      <w:pPr>
        <w:spacing w:after="0" w:line="240" w:lineRule="auto"/>
        <w:jc w:val="both"/>
        <w:rPr>
          <w:b/>
          <w:u w:val="single"/>
        </w:rPr>
      </w:pPr>
    </w:p>
    <w:p w:rsidR="000A6EB4" w:rsidRDefault="000A6EB4" w:rsidP="003F002A">
      <w:pPr>
        <w:spacing w:after="0" w:line="240" w:lineRule="auto"/>
        <w:jc w:val="both"/>
        <w:rPr>
          <w:b/>
          <w:u w:val="single"/>
        </w:rPr>
      </w:pPr>
    </w:p>
    <w:p w:rsidR="000A6EB4" w:rsidRDefault="000A6EB4" w:rsidP="003F002A">
      <w:pPr>
        <w:spacing w:after="0" w:line="240" w:lineRule="auto"/>
        <w:jc w:val="both"/>
        <w:rPr>
          <w:b/>
          <w:u w:val="single"/>
        </w:rPr>
      </w:pPr>
    </w:p>
    <w:p w:rsidR="000A6EB4" w:rsidRDefault="000A6EB4" w:rsidP="003F002A">
      <w:pPr>
        <w:spacing w:after="0" w:line="240" w:lineRule="auto"/>
        <w:jc w:val="both"/>
        <w:rPr>
          <w:b/>
          <w:u w:val="single"/>
        </w:rPr>
      </w:pPr>
    </w:p>
    <w:p w:rsidR="000A6EB4" w:rsidRDefault="000A6EB4" w:rsidP="003F002A">
      <w:pPr>
        <w:spacing w:after="0" w:line="240" w:lineRule="auto"/>
        <w:jc w:val="both"/>
        <w:rPr>
          <w:b/>
          <w:u w:val="single"/>
        </w:rPr>
      </w:pPr>
    </w:p>
    <w:p w:rsidR="000A6EB4" w:rsidRDefault="000A6EB4" w:rsidP="003F002A">
      <w:pPr>
        <w:spacing w:after="0" w:line="240" w:lineRule="auto"/>
        <w:jc w:val="both"/>
        <w:rPr>
          <w:b/>
          <w:u w:val="single"/>
        </w:rPr>
      </w:pPr>
    </w:p>
    <w:p w:rsidR="000A6EB4" w:rsidRDefault="000A6EB4" w:rsidP="003F002A">
      <w:pPr>
        <w:spacing w:after="0" w:line="240" w:lineRule="auto"/>
        <w:jc w:val="both"/>
        <w:rPr>
          <w:b/>
          <w:u w:val="single"/>
        </w:rPr>
      </w:pPr>
    </w:p>
    <w:p w:rsidR="000A6EB4" w:rsidRDefault="000A6EB4" w:rsidP="003F002A">
      <w:pPr>
        <w:spacing w:after="0" w:line="240" w:lineRule="auto"/>
        <w:jc w:val="both"/>
        <w:rPr>
          <w:b/>
          <w:u w:val="single"/>
        </w:rPr>
      </w:pPr>
    </w:p>
    <w:p w:rsidR="000A6EB4" w:rsidRDefault="000A6EB4" w:rsidP="003F002A">
      <w:pPr>
        <w:spacing w:after="0" w:line="240" w:lineRule="auto"/>
        <w:jc w:val="both"/>
        <w:rPr>
          <w:b/>
          <w:u w:val="single"/>
        </w:rPr>
      </w:pPr>
    </w:p>
    <w:p w:rsidR="000A6EB4" w:rsidRDefault="000A6EB4" w:rsidP="003F002A">
      <w:pPr>
        <w:spacing w:after="0" w:line="240" w:lineRule="auto"/>
        <w:jc w:val="both"/>
        <w:rPr>
          <w:b/>
          <w:u w:val="single"/>
        </w:rPr>
      </w:pPr>
    </w:p>
    <w:p w:rsidR="000A6EB4" w:rsidRDefault="000A6EB4" w:rsidP="003F002A">
      <w:pPr>
        <w:spacing w:after="0" w:line="240" w:lineRule="auto"/>
        <w:jc w:val="both"/>
        <w:rPr>
          <w:b/>
          <w:u w:val="single"/>
        </w:rPr>
      </w:pPr>
    </w:p>
    <w:p w:rsidR="000A6EB4" w:rsidRDefault="000A6EB4" w:rsidP="003F002A">
      <w:pPr>
        <w:spacing w:after="0" w:line="240" w:lineRule="auto"/>
        <w:jc w:val="both"/>
        <w:rPr>
          <w:b/>
          <w:u w:val="single"/>
        </w:rPr>
      </w:pPr>
    </w:p>
    <w:p w:rsidR="000A6EB4" w:rsidRDefault="000A6EB4" w:rsidP="003F002A">
      <w:pPr>
        <w:spacing w:after="0" w:line="240" w:lineRule="auto"/>
        <w:jc w:val="both"/>
        <w:rPr>
          <w:b/>
          <w:u w:val="single"/>
        </w:rPr>
      </w:pPr>
    </w:p>
    <w:p w:rsidR="003F002A" w:rsidRDefault="004B6804" w:rsidP="0036757F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 xml:space="preserve">SIVR Model </w:t>
      </w:r>
    </w:p>
    <w:p w:rsidR="004B6804" w:rsidRPr="004B6804" w:rsidRDefault="00953FFB" w:rsidP="004B6804">
      <w:pPr>
        <w:spacing w:after="0" w:line="240" w:lineRule="auto"/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=-βS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nv</m:t>
                  </m:r>
                </m:sub>
              </m:sSub>
            </m:e>
          </m:d>
        </m:oMath>
      </m:oMathPara>
    </w:p>
    <w:p w:rsidR="004B6804" w:rsidRPr="004B6804" w:rsidRDefault="004B6804" w:rsidP="004B6804">
      <w:pPr>
        <w:spacing w:after="0" w:line="240" w:lineRule="auto"/>
        <w:jc w:val="both"/>
        <w:rPr>
          <w:rFonts w:ascii="Cambria Math" w:hAnsi="Cambria Math"/>
          <w:i/>
          <w:iCs/>
        </w:rPr>
      </w:pPr>
    </w:p>
    <w:p w:rsidR="004B6804" w:rsidRPr="004B6804" w:rsidRDefault="00953FFB" w:rsidP="004B6804">
      <w:pPr>
        <w:spacing w:after="0" w:line="240" w:lineRule="auto"/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=βSv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nv</m:t>
                  </m:r>
                </m:sub>
              </m:sSub>
            </m:e>
          </m:d>
          <m:r>
            <w:rPr>
              <w:rFonts w:ascii="Cambria Math" w:hAnsi="Cambria Math"/>
            </w:rPr>
            <m:t>-µ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4B6804" w:rsidRPr="004B6804" w:rsidRDefault="004B6804" w:rsidP="004B6804">
      <w:pPr>
        <w:spacing w:after="0" w:line="240" w:lineRule="auto"/>
        <w:jc w:val="both"/>
        <w:rPr>
          <w:rFonts w:ascii="Cambria Math" w:hAnsi="Cambria Math"/>
          <w:i/>
          <w:iCs/>
        </w:rPr>
      </w:pPr>
    </w:p>
    <w:p w:rsidR="004B6804" w:rsidRPr="004B6804" w:rsidRDefault="00953FFB" w:rsidP="004B6804">
      <w:pPr>
        <w:spacing w:after="0" w:line="240" w:lineRule="auto"/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=βS(1-v)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nv</m:t>
                  </m:r>
                </m:sub>
              </m:sSub>
            </m:e>
          </m:d>
          <m:r>
            <w:rPr>
              <w:rFonts w:ascii="Cambria Math" w:hAnsi="Cambria Math"/>
            </w:rPr>
            <m:t>-µ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nv</m:t>
              </m:r>
            </m:sub>
          </m:sSub>
          <m:r>
            <w:rPr>
              <w:rFonts w:ascii="Cambria Math" w:hAnsi="Cambria Math"/>
            </w:rPr>
            <m:t> </m:t>
          </m:r>
        </m:oMath>
      </m:oMathPara>
    </w:p>
    <w:p w:rsidR="004B6804" w:rsidRPr="004B6804" w:rsidRDefault="004B6804" w:rsidP="004B6804">
      <w:pPr>
        <w:spacing w:after="0" w:line="240" w:lineRule="auto"/>
        <w:jc w:val="both"/>
        <w:rPr>
          <w:rFonts w:ascii="Cambria Math" w:hAnsi="Cambria Math"/>
          <w:i/>
          <w:iCs/>
        </w:rPr>
      </w:pPr>
    </w:p>
    <w:p w:rsidR="004B6804" w:rsidRPr="004B6804" w:rsidRDefault="00953FFB" w:rsidP="004B6804">
      <w:pPr>
        <w:spacing w:after="0" w:line="240" w:lineRule="auto"/>
        <w:jc w:val="both"/>
        <w:rPr>
          <w:rFonts w:ascii="Cambria Math" w:hAnsi="Cambria Math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=µ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+µ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nv</m:t>
              </m:r>
            </m:sub>
          </m:sSub>
          <m:r>
            <w:rPr>
              <w:rFonts w:ascii="Cambria Math" w:hAnsi="Cambria Math"/>
            </w:rPr>
            <m:t> </m:t>
          </m:r>
        </m:oMath>
      </m:oMathPara>
    </w:p>
    <w:p w:rsidR="00DD5A18" w:rsidRDefault="00DD5A18" w:rsidP="00251F88">
      <w:pPr>
        <w:spacing w:after="0" w:line="240" w:lineRule="auto"/>
        <w:jc w:val="both"/>
      </w:pPr>
    </w:p>
    <w:p w:rsidR="00966E59" w:rsidRPr="00966E59" w:rsidRDefault="004B6804" w:rsidP="00251F88">
      <w:pPr>
        <w:spacing w:after="0" w:line="240" w:lineRule="auto"/>
        <w:jc w:val="both"/>
      </w:pPr>
      <w:r>
        <w:t>The SIVR mo</w:t>
      </w:r>
      <w:r w:rsidR="00DB5EB6">
        <w:t>del follows a SIR</w:t>
      </w:r>
      <w:r>
        <w:t xml:space="preserve"> model structure, with two nuances, the </w:t>
      </w:r>
      <w:r w:rsidR="00251F88">
        <w:t>separation</w:t>
      </w:r>
      <w:r w:rsidR="00D77A2B">
        <w:t xml:space="preserve"> of the infected (I) compartment into a “visible” (</w:t>
      </w:r>
      <w:proofErr w:type="gramStart"/>
      <w:r w:rsidR="00D77A2B">
        <w:t>I</w:t>
      </w:r>
      <w:r w:rsidR="00D77A2B" w:rsidRPr="0091490D">
        <w:rPr>
          <w:vertAlign w:val="subscript"/>
        </w:rPr>
        <w:t>v</w:t>
      </w:r>
      <w:proofErr w:type="gramEnd"/>
      <w:r w:rsidR="00D77A2B">
        <w:t>) and “non-visible” (</w:t>
      </w:r>
      <w:proofErr w:type="spellStart"/>
      <w:r w:rsidR="00D77A2B">
        <w:t>I</w:t>
      </w:r>
      <w:r w:rsidR="00D77A2B" w:rsidRPr="0091490D">
        <w:rPr>
          <w:vertAlign w:val="subscript"/>
        </w:rPr>
        <w:t>nv</w:t>
      </w:r>
      <w:proofErr w:type="spellEnd"/>
      <w:r w:rsidR="00D77A2B">
        <w:t>) infected compartments.</w:t>
      </w:r>
      <w:r w:rsidR="00251F88">
        <w:t xml:space="preserve"> This describes the possibility that there is a fraction of individuals who become asymptomatically infected</w:t>
      </w:r>
      <w:r w:rsidR="00561970">
        <w:t xml:space="preserve"> (1-v)</w:t>
      </w:r>
      <w:r w:rsidR="00251F88">
        <w:t xml:space="preserve">, but remain infectious, therefore </w:t>
      </w:r>
      <w:r w:rsidR="00DB5EB6">
        <w:t>being</w:t>
      </w:r>
      <w:r w:rsidR="00251F88">
        <w:t xml:space="preserve"> undetected by disease surveillance systems. </w:t>
      </w:r>
    </w:p>
    <w:p w:rsidR="004B6804" w:rsidRDefault="004B6804" w:rsidP="004B6804">
      <w:pPr>
        <w:spacing w:after="0" w:line="240" w:lineRule="auto"/>
        <w:rPr>
          <w:b/>
          <w:u w:val="single"/>
        </w:rPr>
      </w:pPr>
    </w:p>
    <w:p w:rsidR="0091490D" w:rsidRPr="00251F88" w:rsidRDefault="0091490D" w:rsidP="0091490D">
      <w:pPr>
        <w:spacing w:after="0" w:line="240" w:lineRule="auto"/>
        <w:rPr>
          <w:b/>
        </w:rPr>
      </w:pPr>
      <w:r w:rsidRPr="00251F88">
        <w:rPr>
          <w:b/>
        </w:rPr>
        <w:t>Table 2</w:t>
      </w:r>
      <w:r w:rsidR="0036757F" w:rsidRPr="00251F88">
        <w:rPr>
          <w:b/>
        </w:rPr>
        <w:t xml:space="preserve"> </w:t>
      </w:r>
      <w:r w:rsidR="0036757F">
        <w:rPr>
          <w:b/>
        </w:rPr>
        <w:t>–</w:t>
      </w:r>
      <w:r w:rsidR="0036757F" w:rsidRPr="00251F88">
        <w:rPr>
          <w:b/>
        </w:rPr>
        <w:t xml:space="preserve"> </w:t>
      </w:r>
      <w:r w:rsidR="0036757F">
        <w:rPr>
          <w:b/>
        </w:rPr>
        <w:t xml:space="preserve">Parameter descriptions for the SIVR model 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7458"/>
      </w:tblGrid>
      <w:tr w:rsidR="0091490D" w:rsidTr="00251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91490D" w:rsidRPr="0091490D" w:rsidRDefault="0091490D" w:rsidP="00251F88">
            <w:pPr>
              <w:spacing w:line="276" w:lineRule="auto"/>
            </w:pPr>
            <w:r w:rsidRPr="0091490D">
              <w:t>Parameter</w:t>
            </w:r>
          </w:p>
        </w:tc>
        <w:tc>
          <w:tcPr>
            <w:tcW w:w="7458" w:type="dxa"/>
          </w:tcPr>
          <w:p w:rsidR="0091490D" w:rsidRPr="0091490D" w:rsidRDefault="0091490D" w:rsidP="00251F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490D">
              <w:t xml:space="preserve">Description </w:t>
            </w:r>
          </w:p>
        </w:tc>
      </w:tr>
      <w:tr w:rsidR="0091490D" w:rsidTr="0025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91490D" w:rsidRPr="00251F88" w:rsidRDefault="0091490D" w:rsidP="00251F88">
            <w:pPr>
              <w:spacing w:line="276" w:lineRule="auto"/>
              <w:jc w:val="center"/>
              <w:rPr>
                <w:b w:val="0"/>
              </w:rPr>
            </w:pPr>
            <w:r w:rsidRPr="00251F88">
              <w:rPr>
                <w:rFonts w:cstheme="minorHAnsi"/>
                <w:b w:val="0"/>
              </w:rPr>
              <w:t>β</w:t>
            </w:r>
          </w:p>
        </w:tc>
        <w:tc>
          <w:tcPr>
            <w:tcW w:w="7458" w:type="dxa"/>
          </w:tcPr>
          <w:p w:rsidR="0091490D" w:rsidRPr="00DD5A18" w:rsidRDefault="00DD5A18" w:rsidP="00DB5E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A18">
              <w:t xml:space="preserve">Per capita rate of transmission. </w:t>
            </w:r>
          </w:p>
        </w:tc>
      </w:tr>
      <w:tr w:rsidR="0091490D" w:rsidTr="00251F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91490D" w:rsidRPr="00251F88" w:rsidRDefault="0091490D" w:rsidP="00251F88">
            <w:pPr>
              <w:spacing w:line="276" w:lineRule="auto"/>
              <w:jc w:val="center"/>
              <w:rPr>
                <w:b w:val="0"/>
              </w:rPr>
            </w:pPr>
            <w:r w:rsidRPr="00251F88">
              <w:rPr>
                <w:b w:val="0"/>
              </w:rPr>
              <w:t>v</w:t>
            </w:r>
          </w:p>
        </w:tc>
        <w:tc>
          <w:tcPr>
            <w:tcW w:w="7458" w:type="dxa"/>
          </w:tcPr>
          <w:p w:rsidR="0091490D" w:rsidRPr="00DD5A18" w:rsidRDefault="00DD5A18" w:rsidP="00251F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A18">
              <w:t>Fraction o</w:t>
            </w:r>
            <w:r w:rsidR="00561970">
              <w:t>f individuals who become visibly</w:t>
            </w:r>
            <w:r w:rsidRPr="00DD5A18">
              <w:t xml:space="preserve"> (symptomatically) infected following SARS-COV 2 infection. </w:t>
            </w:r>
          </w:p>
        </w:tc>
      </w:tr>
      <w:tr w:rsidR="0091490D" w:rsidTr="0025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91490D" w:rsidRPr="00251F88" w:rsidRDefault="0091490D" w:rsidP="00251F88">
            <w:pPr>
              <w:spacing w:line="276" w:lineRule="auto"/>
              <w:jc w:val="center"/>
              <w:rPr>
                <w:b w:val="0"/>
              </w:rPr>
            </w:pPr>
            <w:r w:rsidRPr="00251F88">
              <w:rPr>
                <w:rFonts w:cstheme="minorHAnsi"/>
                <w:b w:val="0"/>
              </w:rPr>
              <w:t>µ</w:t>
            </w:r>
          </w:p>
        </w:tc>
        <w:tc>
          <w:tcPr>
            <w:tcW w:w="7458" w:type="dxa"/>
          </w:tcPr>
          <w:p w:rsidR="0091490D" w:rsidRPr="00DD5A18" w:rsidRDefault="00F73764" w:rsidP="00251F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D5A18" w:rsidRPr="00DD5A18">
              <w:t xml:space="preserve">er capita rate of disease recovery, or the reciprocal of the average duration of infectiousness or the reciprocal of the generation time (in the absence of a latency period) </w:t>
            </w:r>
          </w:p>
        </w:tc>
      </w:tr>
    </w:tbl>
    <w:p w:rsidR="00D2089C" w:rsidRDefault="00D2089C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Default="000A6EB4" w:rsidP="00D2089C">
      <w:pPr>
        <w:spacing w:after="0" w:line="240" w:lineRule="auto"/>
        <w:rPr>
          <w:b/>
          <w:u w:val="single"/>
        </w:rPr>
      </w:pPr>
    </w:p>
    <w:p w:rsidR="000A6EB4" w:rsidRPr="00966E59" w:rsidRDefault="000A6EB4" w:rsidP="00D2089C">
      <w:pPr>
        <w:spacing w:after="0" w:line="240" w:lineRule="auto"/>
        <w:rPr>
          <w:b/>
          <w:u w:val="single"/>
        </w:rPr>
      </w:pPr>
    </w:p>
    <w:p w:rsidR="00966E59" w:rsidRPr="00966E59" w:rsidRDefault="00966E59" w:rsidP="00D2089C">
      <w:pPr>
        <w:spacing w:after="0" w:line="240" w:lineRule="auto"/>
        <w:rPr>
          <w:b/>
          <w:u w:val="single"/>
        </w:rPr>
      </w:pPr>
      <w:r w:rsidRPr="00966E59">
        <w:rPr>
          <w:b/>
          <w:u w:val="single"/>
        </w:rPr>
        <w:lastRenderedPageBreak/>
        <w:t>Scenario Analysis</w:t>
      </w:r>
    </w:p>
    <w:p w:rsidR="00251F88" w:rsidRDefault="00251F88" w:rsidP="00251F88">
      <w:pPr>
        <w:spacing w:after="0" w:line="240" w:lineRule="auto"/>
      </w:pPr>
    </w:p>
    <w:p w:rsidR="00966E59" w:rsidRDefault="00251F88" w:rsidP="00D2366D">
      <w:pPr>
        <w:spacing w:after="0" w:line="240" w:lineRule="auto"/>
        <w:jc w:val="both"/>
      </w:pPr>
      <w:r>
        <w:t>Both models were initiated with the same initial conditions, with S = 0.9999, I/</w:t>
      </w:r>
      <w:proofErr w:type="gramStart"/>
      <w:r>
        <w:t>I</w:t>
      </w:r>
      <w:r w:rsidRPr="00DB0FC6">
        <w:rPr>
          <w:vertAlign w:val="subscript"/>
        </w:rPr>
        <w:t>v</w:t>
      </w:r>
      <w:proofErr w:type="gramEnd"/>
      <w:r>
        <w:t xml:space="preserve"> = 0.0001 and</w:t>
      </w:r>
      <w:r w:rsidR="00DB5EB6">
        <w:t xml:space="preserve"> with</w:t>
      </w:r>
      <w:r>
        <w:t xml:space="preserve"> all </w:t>
      </w:r>
      <w:r w:rsidR="00DD5A18">
        <w:t xml:space="preserve">other </w:t>
      </w:r>
      <w:r>
        <w:t xml:space="preserve">SIVR/SIHR compartments being initialised at 0. </w:t>
      </w:r>
      <w:r w:rsidR="00966E59">
        <w:t xml:space="preserve">The </w:t>
      </w:r>
      <w:r w:rsidR="00966E59" w:rsidRPr="00B45294">
        <w:t xml:space="preserve">SIHR model was </w:t>
      </w:r>
      <w:r w:rsidR="00DB5EB6">
        <w:t>run</w:t>
      </w:r>
      <w:r w:rsidR="00966E59" w:rsidRPr="00B45294">
        <w:t xml:space="preserve"> with </w:t>
      </w:r>
      <w:r w:rsidR="00966E59">
        <w:t xml:space="preserve">a </w:t>
      </w:r>
      <w:r w:rsidR="00966E59" w:rsidRPr="00B45294">
        <w:t>specific parameter</w:t>
      </w:r>
      <w:r w:rsidR="00966E59">
        <w:t xml:space="preserve"> set</w:t>
      </w:r>
      <w:r w:rsidR="00966E59" w:rsidRPr="00B45294">
        <w:t xml:space="preserve"> to</w:t>
      </w:r>
      <w:r w:rsidR="00966E59">
        <w:t xml:space="preserve"> obtain an epidemic curve for the “non-hidden” </w:t>
      </w:r>
      <w:r>
        <w:t>infected</w:t>
      </w:r>
      <w:r w:rsidR="00F73764">
        <w:t xml:space="preserve"> fraction</w:t>
      </w:r>
      <w:r w:rsidR="00966E59">
        <w:t xml:space="preserve"> over the projected course of the outbreak. </w:t>
      </w:r>
      <w:r w:rsidR="00DD5A18">
        <w:t xml:space="preserve">This used </w:t>
      </w:r>
      <w:r w:rsidR="00BD7361">
        <w:t xml:space="preserve">epidemiological </w:t>
      </w:r>
      <w:r w:rsidR="00DD5A18">
        <w:t xml:space="preserve">information on the </w:t>
      </w:r>
      <w:r w:rsidR="00BD7361">
        <w:t>doubling time (T</w:t>
      </w:r>
      <w:r w:rsidR="00BD7361" w:rsidRPr="00D2366D">
        <w:rPr>
          <w:vertAlign w:val="subscript"/>
        </w:rPr>
        <w:t>2</w:t>
      </w:r>
      <w:r w:rsidR="00BD7361">
        <w:t>) and</w:t>
      </w:r>
      <w:r w:rsidR="001B7CB9">
        <w:t xml:space="preserve"> a basic reproduction number</w:t>
      </w:r>
      <w:r w:rsidR="00BD7361">
        <w:t xml:space="preserve"> </w:t>
      </w:r>
      <w:r w:rsidR="001B7CB9">
        <w:t>(</w:t>
      </w:r>
      <w:r w:rsidR="00BD7361">
        <w:t>R</w:t>
      </w:r>
      <w:r w:rsidR="00BD7361" w:rsidRPr="0036757F">
        <w:rPr>
          <w:vertAlign w:val="subscript"/>
        </w:rPr>
        <w:t>0</w:t>
      </w:r>
      <w:r w:rsidR="001B7CB9">
        <w:t xml:space="preserve">) </w:t>
      </w:r>
      <w:r w:rsidR="00BD7361">
        <w:t xml:space="preserve">to obtain relevant </w:t>
      </w:r>
      <w:r w:rsidR="00BD7361">
        <w:rPr>
          <w:rFonts w:cstheme="minorHAnsi"/>
        </w:rPr>
        <w:t>β</w:t>
      </w:r>
      <w:r w:rsidR="000621E0" w:rsidRPr="0036757F">
        <w:rPr>
          <w:rFonts w:cstheme="minorHAnsi"/>
          <w:vertAlign w:val="subscript"/>
        </w:rPr>
        <w:t>1</w:t>
      </w:r>
      <w:r w:rsidR="00BD7361">
        <w:t xml:space="preserve"> and </w:t>
      </w:r>
      <w:r w:rsidR="00BD7361">
        <w:rPr>
          <w:rFonts w:cstheme="minorHAnsi"/>
        </w:rPr>
        <w:t>µ</w:t>
      </w:r>
      <w:r w:rsidR="00BD7361">
        <w:t xml:space="preserve"> rates</w:t>
      </w:r>
      <w:r w:rsidR="000621E0">
        <w:t xml:space="preserve"> (</w:t>
      </w:r>
      <w:proofErr w:type="spellStart"/>
      <w:r w:rsidR="000621E0">
        <w:t>eqn</w:t>
      </w:r>
      <w:proofErr w:type="spellEnd"/>
      <w:r w:rsidR="000621E0">
        <w:t xml:space="preserve"> 1</w:t>
      </w:r>
      <w:r w:rsidR="00D2366D">
        <w:t>.1</w:t>
      </w:r>
      <w:r w:rsidR="000621E0">
        <w:t>-2)</w:t>
      </w:r>
      <w:r w:rsidR="00BD7361">
        <w:t xml:space="preserve">. </w:t>
      </w:r>
      <w:r w:rsidR="000621E0">
        <w:rPr>
          <w:rFonts w:cstheme="minorHAnsi"/>
        </w:rPr>
        <w:t>β</w:t>
      </w:r>
      <w:r w:rsidR="00BD7361" w:rsidRPr="00D2366D">
        <w:rPr>
          <w:vertAlign w:val="subscript"/>
        </w:rPr>
        <w:t>2</w:t>
      </w:r>
      <w:r w:rsidR="00BD7361">
        <w:t xml:space="preserve"> was considered 5-fold larger than </w:t>
      </w:r>
      <w:r w:rsidR="000621E0">
        <w:rPr>
          <w:rFonts w:cstheme="minorHAnsi"/>
        </w:rPr>
        <w:t>β</w:t>
      </w:r>
      <w:r w:rsidR="000621E0" w:rsidRPr="00D2366D">
        <w:rPr>
          <w:rFonts w:cstheme="minorHAnsi"/>
          <w:vertAlign w:val="subscript"/>
        </w:rPr>
        <w:t>1</w:t>
      </w:r>
      <w:r w:rsidR="000621E0">
        <w:rPr>
          <w:rFonts w:cstheme="minorHAnsi"/>
        </w:rPr>
        <w:t xml:space="preserve"> as part of a scenario analysis, essentially resulting in five times as many individu</w:t>
      </w:r>
      <w:r w:rsidR="00DB5EB6">
        <w:rPr>
          <w:rFonts w:cstheme="minorHAnsi"/>
        </w:rPr>
        <w:t xml:space="preserve">als becoming “hidden” </w:t>
      </w:r>
      <w:r w:rsidR="000621E0">
        <w:rPr>
          <w:rFonts w:cstheme="minorHAnsi"/>
        </w:rPr>
        <w:t>relative to “non-hidden”</w:t>
      </w:r>
      <w:r w:rsidR="00DB5EB6">
        <w:rPr>
          <w:rFonts w:cstheme="minorHAnsi"/>
        </w:rPr>
        <w:t xml:space="preserve"> </w:t>
      </w:r>
      <w:proofErr w:type="spellStart"/>
      <w:r w:rsidR="00DB5EB6">
        <w:rPr>
          <w:rFonts w:cstheme="minorHAnsi"/>
        </w:rPr>
        <w:t>infecteds</w:t>
      </w:r>
      <w:proofErr w:type="spellEnd"/>
      <w:r w:rsidR="000621E0">
        <w:rPr>
          <w:rFonts w:cstheme="minorHAnsi"/>
        </w:rPr>
        <w:t xml:space="preserve">. </w:t>
      </w:r>
    </w:p>
    <w:p w:rsidR="00966E59" w:rsidRDefault="00966E59" w:rsidP="00966E59">
      <w:pPr>
        <w:spacing w:after="0" w:line="240" w:lineRule="auto"/>
      </w:pPr>
    </w:p>
    <w:p w:rsidR="00966E59" w:rsidRDefault="00953FFB" w:rsidP="00966E59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µ</m:t>
              </m:r>
            </m:den>
          </m:f>
        </m:oMath>
      </m:oMathPara>
    </w:p>
    <w:p w:rsidR="000621E0" w:rsidRDefault="00D2366D" w:rsidP="00D2366D">
      <w:pPr>
        <w:spacing w:after="0" w:line="240" w:lineRule="auto"/>
        <w:jc w:val="right"/>
      </w:pPr>
      <w:proofErr w:type="spellStart"/>
      <w:proofErr w:type="gramStart"/>
      <w:r>
        <w:t>eqn</w:t>
      </w:r>
      <w:proofErr w:type="spellEnd"/>
      <w:proofErr w:type="gramEnd"/>
      <w:r>
        <w:t xml:space="preserve"> 1.1</w:t>
      </w:r>
    </w:p>
    <w:p w:rsidR="00D2366D" w:rsidRDefault="00D2366D" w:rsidP="0036757F">
      <w:pPr>
        <w:spacing w:after="0" w:line="240" w:lineRule="auto"/>
      </w:pPr>
    </w:p>
    <w:p w:rsidR="00D2366D" w:rsidRDefault="00953FFB" w:rsidP="00966E59">
      <w:pPr>
        <w:spacing w:after="0" w:line="240" w:lineRule="auto"/>
        <w:rPr>
          <w:rFonts w:ascii="Calibri" w:hAnsi="Calibri" w:cs="Calibri"/>
          <w:color w:val="000000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µ</m:t>
              </m:r>
            </m:den>
          </m:f>
          <m:r>
            <w:rPr>
              <w:rFonts w:ascii="Cambria Math" w:hAnsi="Cambria Math" w:cs="Calibri"/>
              <w:color w:val="000000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T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ln⁡</m:t>
              </m:r>
              <m:r>
                <w:rPr>
                  <w:rFonts w:ascii="Cambria Math" w:hAnsi="Cambria Math" w:cs="Calibri"/>
                  <w:color w:val="000000"/>
                </w:rPr>
                <m:t>(2)</m:t>
              </m:r>
            </m:den>
          </m:f>
        </m:oMath>
      </m:oMathPara>
    </w:p>
    <w:p w:rsidR="00D2366D" w:rsidRDefault="00D2366D" w:rsidP="00D2366D">
      <w:pPr>
        <w:spacing w:after="0" w:line="240" w:lineRule="auto"/>
        <w:jc w:val="right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eqn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1.2</w:t>
      </w:r>
    </w:p>
    <w:p w:rsidR="000621E0" w:rsidRDefault="000621E0" w:rsidP="00966E59">
      <w:pPr>
        <w:spacing w:after="0" w:line="240" w:lineRule="auto"/>
      </w:pPr>
    </w:p>
    <w:p w:rsidR="00F73764" w:rsidRDefault="000621E0" w:rsidP="004535AE">
      <w:pPr>
        <w:spacing w:after="0" w:line="240" w:lineRule="auto"/>
        <w:jc w:val="both"/>
      </w:pPr>
      <w:r>
        <w:t xml:space="preserve">The timing of the epidemic peak and the number of “non-hidden” infected cases at the SIHR epidemic peak was </w:t>
      </w:r>
      <w:r w:rsidR="00F73764">
        <w:t>chosen</w:t>
      </w:r>
      <w:r>
        <w:t xml:space="preserve"> as summary statistics for an approximate Bayesian computation</w:t>
      </w:r>
      <w:r w:rsidR="00F73764">
        <w:t xml:space="preserve"> (ABC)</w:t>
      </w:r>
      <w:r>
        <w:t xml:space="preserve"> model fitting </w:t>
      </w:r>
      <w:r w:rsidR="00561970">
        <w:t>approach</w:t>
      </w:r>
      <w:r>
        <w:t xml:space="preserve">. By allowing </w:t>
      </w:r>
      <w:r>
        <w:rPr>
          <w:rFonts w:cstheme="minorHAnsi"/>
        </w:rPr>
        <w:t>β</w:t>
      </w:r>
      <w:r w:rsidR="00D2366D">
        <w:rPr>
          <w:rFonts w:cstheme="minorHAnsi"/>
        </w:rPr>
        <w:t xml:space="preserve">, </w:t>
      </w:r>
      <w:r>
        <w:rPr>
          <w:rFonts w:cstheme="minorHAnsi"/>
        </w:rPr>
        <w:t>µ</w:t>
      </w:r>
      <w:r>
        <w:t xml:space="preserve"> and v parameters to vary in the SIVR mode</w:t>
      </w:r>
      <w:r w:rsidR="00D2366D">
        <w:t>l</w:t>
      </w:r>
      <w:r>
        <w:t xml:space="preserve">, the SIVR epidemic curve was fitted to the </w:t>
      </w:r>
      <w:r w:rsidR="00561970">
        <w:t>outcome measures</w:t>
      </w:r>
      <w:r>
        <w:t xml:space="preserve"> obtained from the </w:t>
      </w:r>
      <w:r w:rsidR="00F73764">
        <w:t xml:space="preserve">initialised </w:t>
      </w:r>
      <w:r>
        <w:t>SIHR</w:t>
      </w:r>
      <w:r w:rsidR="00F73764">
        <w:t xml:space="preserve"> model</w:t>
      </w:r>
      <w:r>
        <w:t>. This allo</w:t>
      </w:r>
      <w:r w:rsidR="00561970">
        <w:t>wed for the determination of</w:t>
      </w:r>
      <w:r>
        <w:t xml:space="preserve"> SIVR model parameters that would “</w:t>
      </w:r>
      <w:r w:rsidR="00D2366D">
        <w:t>match</w:t>
      </w:r>
      <w:r>
        <w:t>” the epidemic curve produced by the SIHR model</w:t>
      </w:r>
      <w:r w:rsidR="00561970">
        <w:t xml:space="preserve">. </w:t>
      </w:r>
      <w:r w:rsidR="004535AE">
        <w:t>U</w:t>
      </w:r>
      <w:r w:rsidR="00D2366D">
        <w:t xml:space="preserve">niform prior distributions were chosen for the </w:t>
      </w:r>
      <w:r w:rsidR="00D2366D">
        <w:rPr>
          <w:rFonts w:cstheme="minorHAnsi"/>
        </w:rPr>
        <w:t>β, µ</w:t>
      </w:r>
      <w:r w:rsidR="00D2366D">
        <w:t xml:space="preserve"> and v model parameters (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2366D">
        <w:t>)</w:t>
      </w:r>
      <w:r w:rsidR="00F73764">
        <w:t xml:space="preserve"> for the model fitting process</w:t>
      </w:r>
      <w:r w:rsidR="00D2366D">
        <w:t xml:space="preserve"> (Figure 1). </w:t>
      </w:r>
    </w:p>
    <w:p w:rsidR="00F73764" w:rsidRDefault="00F73764" w:rsidP="00923F6D">
      <w:pPr>
        <w:spacing w:after="0" w:line="240" w:lineRule="auto"/>
      </w:pPr>
    </w:p>
    <w:p w:rsidR="00F73764" w:rsidRPr="00561970" w:rsidRDefault="00561970" w:rsidP="00F73764">
      <w:pPr>
        <w:spacing w:after="0" w:line="240" w:lineRule="auto"/>
        <w:jc w:val="center"/>
        <w:rPr>
          <w:b/>
        </w:rPr>
      </w:pPr>
      <w:r>
        <w:rPr>
          <w:noProof/>
          <w:lang w:eastAsia="en-GB"/>
        </w:rPr>
        <w:drawing>
          <wp:inline distT="0" distB="0" distL="0" distR="0" wp14:anchorId="4700D2C1" wp14:editId="5A7A9F2E">
            <wp:extent cx="5077019" cy="35909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596" cy="359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64" w:rsidRPr="00F73764" w:rsidRDefault="001B7CB9" w:rsidP="00F73764">
      <w:pPr>
        <w:spacing w:after="0" w:line="240" w:lineRule="auto"/>
        <w:rPr>
          <w:b/>
        </w:rPr>
      </w:pPr>
      <w:r>
        <w:rPr>
          <w:b/>
        </w:rPr>
        <w:t>Figure 1</w:t>
      </w:r>
      <w:r w:rsidR="00F73764" w:rsidRPr="00F73764">
        <w:rPr>
          <w:b/>
        </w:rPr>
        <w:t xml:space="preserve"> – Uniform prior distribution used for </w:t>
      </w:r>
      <w:r w:rsidR="00F73764" w:rsidRPr="00F73764">
        <w:rPr>
          <w:rFonts w:cstheme="minorHAnsi"/>
          <w:b/>
        </w:rPr>
        <w:t>β</w:t>
      </w:r>
      <w:r w:rsidR="00F73764" w:rsidRPr="00F73764">
        <w:rPr>
          <w:b/>
        </w:rPr>
        <w:t xml:space="preserve">, </w:t>
      </w:r>
      <w:r w:rsidR="00F73764" w:rsidRPr="00F73764">
        <w:rPr>
          <w:rFonts w:cstheme="minorHAnsi"/>
          <w:b/>
        </w:rPr>
        <w:t>µ</w:t>
      </w:r>
      <w:r w:rsidR="00F73764" w:rsidRPr="00F73764">
        <w:rPr>
          <w:b/>
        </w:rPr>
        <w:t xml:space="preserve"> and </w:t>
      </w:r>
      <w:r w:rsidR="00F73764" w:rsidRPr="00F73764">
        <w:rPr>
          <w:b/>
          <w:i/>
        </w:rPr>
        <w:t>v</w:t>
      </w:r>
      <w:r w:rsidR="00F73764" w:rsidRPr="00F73764">
        <w:rPr>
          <w:b/>
        </w:rPr>
        <w:t xml:space="preserve"> parameters in the</w:t>
      </w:r>
      <w:r w:rsidR="008C1700">
        <w:rPr>
          <w:b/>
        </w:rPr>
        <w:t xml:space="preserve"> ABC model fitting approach. </w:t>
      </w:r>
      <w:r w:rsidR="008C1700" w:rsidRPr="00C76412">
        <w:t>Ran</w:t>
      </w:r>
      <w:r w:rsidR="00561970">
        <w:t xml:space="preserve"> for 25</w:t>
      </w:r>
      <w:r w:rsidR="008C1700" w:rsidRPr="00C76412">
        <w:t>00 random samples.</w:t>
      </w:r>
      <w:r w:rsidR="008C1700">
        <w:rPr>
          <w:b/>
        </w:rPr>
        <w:t xml:space="preserve"> </w:t>
      </w:r>
    </w:p>
    <w:p w:rsidR="00F73764" w:rsidRDefault="00F73764" w:rsidP="00923F6D">
      <w:pPr>
        <w:spacing w:after="0" w:line="240" w:lineRule="auto"/>
      </w:pPr>
    </w:p>
    <w:p w:rsidR="00923F6D" w:rsidRDefault="00D2366D" w:rsidP="00F73764">
      <w:pPr>
        <w:spacing w:after="0" w:line="240" w:lineRule="auto"/>
        <w:jc w:val="both"/>
      </w:pPr>
      <w:r>
        <w:lastRenderedPageBreak/>
        <w:t xml:space="preserve">The ABC approach was </w:t>
      </w:r>
      <w:r w:rsidR="00561970">
        <w:t>run until the threshold of 25</w:t>
      </w:r>
      <w:r>
        <w:t>00 ac</w:t>
      </w:r>
      <w:r w:rsidR="001B7CB9">
        <w:t>cepted particles was</w:t>
      </w:r>
      <w:r>
        <w:t xml:space="preserve"> reached. The maximum a posteriori </w:t>
      </w:r>
      <w:r w:rsidR="0036757F">
        <w:t xml:space="preserve">(MAP) </w:t>
      </w:r>
      <w:r>
        <w:t>of the following parameter posterior distributions were used to obtain</w:t>
      </w:r>
      <w:r w:rsidR="00561970">
        <w:t xml:space="preserve"> the</w:t>
      </w:r>
      <w:r>
        <w:t xml:space="preserve"> parameter values that result in a “matching” epidemic curve for the SIVR model. </w:t>
      </w:r>
    </w:p>
    <w:p w:rsidR="00D2366D" w:rsidRDefault="00D2366D" w:rsidP="00923F6D">
      <w:pPr>
        <w:spacing w:after="0" w:line="240" w:lineRule="auto"/>
      </w:pPr>
    </w:p>
    <w:p w:rsidR="00D2089C" w:rsidRDefault="00D2089C" w:rsidP="00D2089C">
      <w:pPr>
        <w:spacing w:after="0" w:line="240" w:lineRule="auto"/>
        <w:jc w:val="center"/>
        <w:rPr>
          <w:b/>
          <w:u w:val="single"/>
        </w:rPr>
      </w:pPr>
      <w:r w:rsidRPr="00D2089C">
        <w:rPr>
          <w:b/>
          <w:u w:val="single"/>
        </w:rPr>
        <w:t>Results</w:t>
      </w:r>
    </w:p>
    <w:p w:rsidR="001B7CB9" w:rsidRDefault="001B7CB9" w:rsidP="001B7CB9">
      <w:pPr>
        <w:spacing w:after="0" w:line="240" w:lineRule="auto"/>
      </w:pPr>
    </w:p>
    <w:p w:rsidR="001B7CB9" w:rsidRPr="001B7CB9" w:rsidRDefault="001B7CB9" w:rsidP="0025058B">
      <w:pPr>
        <w:spacing w:after="0" w:line="240" w:lineRule="auto"/>
        <w:jc w:val="both"/>
      </w:pPr>
      <w:r>
        <w:t>Usi</w:t>
      </w:r>
      <w:r w:rsidR="00DB5EB6">
        <w:t>ng a doubling time of 6 days,</w:t>
      </w:r>
      <w:r>
        <w:t xml:space="preserve"> a basic reproduction</w:t>
      </w:r>
      <w:r w:rsidR="004535AE">
        <w:t xml:space="preserve"> number of 2, and a </w:t>
      </w:r>
      <w:r w:rsidR="004535AE">
        <w:rPr>
          <w:rFonts w:cstheme="minorHAnsi"/>
        </w:rPr>
        <w:t>β</w:t>
      </w:r>
      <w:r w:rsidR="004535AE" w:rsidRPr="004535AE">
        <w:rPr>
          <w:rFonts w:cstheme="minorHAnsi"/>
          <w:vertAlign w:val="subscript"/>
        </w:rPr>
        <w:t>2</w:t>
      </w:r>
      <w:r w:rsidR="004535AE">
        <w:t>/</w:t>
      </w:r>
      <w:r w:rsidR="004535AE">
        <w:rPr>
          <w:rFonts w:cstheme="minorHAnsi"/>
        </w:rPr>
        <w:t>β</w:t>
      </w:r>
      <w:r w:rsidR="004535AE" w:rsidRPr="004535AE">
        <w:rPr>
          <w:rFonts w:cstheme="minorHAnsi"/>
          <w:vertAlign w:val="subscript"/>
        </w:rPr>
        <w:t>1</w:t>
      </w:r>
      <w:r w:rsidR="004535AE">
        <w:t xml:space="preserve"> ratio of 5, the SIHR </w:t>
      </w:r>
      <w:r w:rsidR="0025058B">
        <w:t>model</w:t>
      </w:r>
      <w:r w:rsidR="004535AE">
        <w:t xml:space="preserve"> was initialised with the following parameters (</w:t>
      </w:r>
      <w:proofErr w:type="spellStart"/>
      <w:r w:rsidR="004535AE">
        <w:t>eqn</w:t>
      </w:r>
      <w:proofErr w:type="spellEnd"/>
      <w:r w:rsidR="004535AE">
        <w:t xml:space="preserve"> 1.1-2): </w:t>
      </w:r>
      <w:r w:rsidR="004535AE">
        <w:rPr>
          <w:rFonts w:cstheme="minorHAnsi"/>
        </w:rPr>
        <w:t>β</w:t>
      </w:r>
      <w:r w:rsidR="004535AE" w:rsidRPr="004535AE">
        <w:rPr>
          <w:rFonts w:cstheme="minorHAnsi"/>
          <w:vertAlign w:val="subscript"/>
        </w:rPr>
        <w:t>1</w:t>
      </w:r>
      <w:r w:rsidR="004535AE">
        <w:t xml:space="preserve"> = 0.231, </w:t>
      </w:r>
      <w:r w:rsidR="004535AE">
        <w:rPr>
          <w:rFonts w:cstheme="minorHAnsi"/>
        </w:rPr>
        <w:t>β</w:t>
      </w:r>
      <w:r w:rsidR="004535AE" w:rsidRPr="004535AE">
        <w:rPr>
          <w:rFonts w:cstheme="minorHAnsi"/>
          <w:vertAlign w:val="subscript"/>
        </w:rPr>
        <w:t>2</w:t>
      </w:r>
      <w:r w:rsidR="004535AE">
        <w:t xml:space="preserve"> = 1.155 and </w:t>
      </w:r>
      <w:r w:rsidR="004535AE">
        <w:rPr>
          <w:rFonts w:cstheme="minorHAnsi"/>
        </w:rPr>
        <w:t>µ</w:t>
      </w:r>
      <w:r w:rsidR="004535AE">
        <w:t xml:space="preserve"> = 0.116.</w:t>
      </w:r>
      <w:r w:rsidR="0025058B">
        <w:t xml:space="preserve"> The resulting simulation produced an epidemic curve for the “non-hidden” infections in the SIHR model, with an epidemic peak after 63 days and a peak fraction of “non-hidden” infected individuals of 0.026 (Figure 2).  </w:t>
      </w:r>
    </w:p>
    <w:p w:rsidR="001B7CB9" w:rsidRDefault="001B7CB9" w:rsidP="004535AE">
      <w:pPr>
        <w:spacing w:after="0" w:line="240" w:lineRule="auto"/>
        <w:rPr>
          <w:b/>
          <w:u w:val="single"/>
        </w:rPr>
      </w:pPr>
    </w:p>
    <w:p w:rsidR="001B7CB9" w:rsidRDefault="001B7CB9" w:rsidP="00D2089C">
      <w:pPr>
        <w:spacing w:after="0" w:line="240" w:lineRule="auto"/>
        <w:jc w:val="center"/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56764628" wp14:editId="0D863721">
            <wp:extent cx="4394669" cy="272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076" cy="27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B9" w:rsidRDefault="001B7CB9" w:rsidP="001B7CB9">
      <w:pPr>
        <w:spacing w:after="0" w:line="240" w:lineRule="auto"/>
      </w:pPr>
      <w:r>
        <w:rPr>
          <w:b/>
        </w:rPr>
        <w:t>Figure 2</w:t>
      </w:r>
      <w:r w:rsidRPr="00F73764">
        <w:rPr>
          <w:b/>
        </w:rPr>
        <w:t xml:space="preserve"> – </w:t>
      </w:r>
      <w:r w:rsidR="00040C64">
        <w:rPr>
          <w:b/>
        </w:rPr>
        <w:t>Epidemic curve for</w:t>
      </w:r>
      <w:r w:rsidR="0025058B">
        <w:rPr>
          <w:b/>
        </w:rPr>
        <w:t xml:space="preserve"> the fraction of “non-hidden” in the SIHR model. </w:t>
      </w:r>
      <w:r w:rsidR="0025058B">
        <w:t xml:space="preserve">Initialised with </w:t>
      </w:r>
      <w:r w:rsidR="0025058B">
        <w:rPr>
          <w:rFonts w:cstheme="minorHAnsi"/>
        </w:rPr>
        <w:t>β</w:t>
      </w:r>
      <w:r w:rsidR="0025058B" w:rsidRPr="004535AE">
        <w:rPr>
          <w:rFonts w:cstheme="minorHAnsi"/>
          <w:vertAlign w:val="subscript"/>
        </w:rPr>
        <w:t>1</w:t>
      </w:r>
      <w:r w:rsidR="0025058B">
        <w:t xml:space="preserve"> = 0.231, </w:t>
      </w:r>
      <w:r w:rsidR="0025058B">
        <w:rPr>
          <w:rFonts w:cstheme="minorHAnsi"/>
        </w:rPr>
        <w:t>β</w:t>
      </w:r>
      <w:r w:rsidR="0025058B" w:rsidRPr="004535AE">
        <w:rPr>
          <w:rFonts w:cstheme="minorHAnsi"/>
          <w:vertAlign w:val="subscript"/>
        </w:rPr>
        <w:t>2</w:t>
      </w:r>
      <w:r w:rsidR="0025058B">
        <w:t xml:space="preserve"> = 1.155 and </w:t>
      </w:r>
      <w:r w:rsidR="0025058B">
        <w:rPr>
          <w:rFonts w:cstheme="minorHAnsi"/>
        </w:rPr>
        <w:t>µ</w:t>
      </w:r>
      <w:r w:rsidR="0025058B">
        <w:t xml:space="preserve"> = 0.116. Initialised with S = 0.9999, I = 0.0001, H = 0 and R = 0. The simulation was run for a total of 200 days with a 1 day time step. </w:t>
      </w:r>
    </w:p>
    <w:p w:rsidR="008C1700" w:rsidRPr="0025058B" w:rsidRDefault="008C1700" w:rsidP="001B7CB9">
      <w:pPr>
        <w:spacing w:after="0" w:line="240" w:lineRule="auto"/>
      </w:pPr>
    </w:p>
    <w:p w:rsidR="008C1700" w:rsidRDefault="007E1499" w:rsidP="007E1499">
      <w:pPr>
        <w:spacing w:after="0" w:line="240" w:lineRule="auto"/>
        <w:jc w:val="both"/>
        <w:rPr>
          <w:rFonts w:cstheme="minorHAnsi"/>
        </w:rPr>
      </w:pPr>
      <w:r>
        <w:t xml:space="preserve">The epidemic peak and a peak fraction of “non-hidden” infected individuals </w:t>
      </w:r>
      <w:r w:rsidR="00561970">
        <w:t xml:space="preserve">of the SIHR model </w:t>
      </w:r>
      <w:r>
        <w:t xml:space="preserve">was used as two </w:t>
      </w:r>
      <w:r w:rsidR="00561970">
        <w:t>outcome measures</w:t>
      </w:r>
      <w:r>
        <w:t xml:space="preserve"> (63 days and 0.026). A summary statistic tolerance of 5% was allowed to enable a greater range of SIVR parameter values to be fit to the desired </w:t>
      </w:r>
      <w:r w:rsidR="00561970">
        <w:t xml:space="preserve">SIHR epidemic curve </w:t>
      </w:r>
      <w:r>
        <w:t xml:space="preserve">and to expedite the model fitting process. </w:t>
      </w:r>
      <w:r>
        <w:rPr>
          <w:rFonts w:cstheme="minorHAnsi"/>
        </w:rPr>
        <w:t xml:space="preserve">The maximum a posteriori (MAP) of these posterior distributions were: β = </w:t>
      </w:r>
      <w:r w:rsidR="00C76412">
        <w:rPr>
          <w:rFonts w:cstheme="minorHAnsi"/>
        </w:rPr>
        <w:t>0.48</w:t>
      </w:r>
      <w:r w:rsidR="0039146D">
        <w:rPr>
          <w:rFonts w:cstheme="minorHAnsi"/>
        </w:rPr>
        <w:t>8</w:t>
      </w:r>
      <w:r>
        <w:rPr>
          <w:rFonts w:cstheme="minorHAnsi"/>
        </w:rPr>
        <w:t xml:space="preserve">, µ = </w:t>
      </w:r>
      <w:r w:rsidR="0039146D">
        <w:rPr>
          <w:rFonts w:cstheme="minorHAnsi"/>
        </w:rPr>
        <w:t>0.376</w:t>
      </w:r>
      <w:r>
        <w:rPr>
          <w:rFonts w:cstheme="minorHAnsi"/>
        </w:rPr>
        <w:t xml:space="preserve"> and v =</w:t>
      </w:r>
      <w:r w:rsidR="0039146D">
        <w:rPr>
          <w:rFonts w:cstheme="minorHAnsi"/>
        </w:rPr>
        <w:t xml:space="preserve"> 0.13</w:t>
      </w:r>
      <w:r w:rsidR="008C1700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E750CA" w:rsidRDefault="00E750CA" w:rsidP="008C1700">
      <w:pPr>
        <w:spacing w:after="0" w:line="240" w:lineRule="auto"/>
        <w:rPr>
          <w:b/>
          <w:u w:val="single"/>
        </w:rPr>
      </w:pPr>
    </w:p>
    <w:p w:rsidR="00E750CA" w:rsidRDefault="0039146D" w:rsidP="00E750CA">
      <w:pPr>
        <w:spacing w:after="0" w:line="240" w:lineRule="auto"/>
        <w:jc w:val="center"/>
        <w:rPr>
          <w:b/>
          <w:u w:val="single"/>
        </w:rPr>
      </w:pPr>
      <w:r w:rsidRPr="0039146D">
        <w:rPr>
          <w:noProof/>
          <w:lang w:eastAsia="en-GB"/>
        </w:rPr>
        <w:drawing>
          <wp:inline distT="0" distB="0" distL="0" distR="0" wp14:anchorId="3C3AE9C4">
            <wp:extent cx="5649305" cy="16859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511" cy="1688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50CA" w:rsidRDefault="00E750CA" w:rsidP="0039146D">
      <w:pPr>
        <w:spacing w:after="0" w:line="240" w:lineRule="auto"/>
        <w:jc w:val="both"/>
        <w:rPr>
          <w:b/>
          <w:u w:val="single"/>
        </w:rPr>
      </w:pPr>
      <w:r w:rsidRPr="00C76412">
        <w:rPr>
          <w:b/>
        </w:rPr>
        <w:t xml:space="preserve">Figure 3 – Posterior </w:t>
      </w:r>
      <w:r w:rsidR="00C76412" w:rsidRPr="00C76412">
        <w:rPr>
          <w:b/>
        </w:rPr>
        <w:t xml:space="preserve">Distribution of </w:t>
      </w:r>
      <w:r w:rsidR="00C76412" w:rsidRPr="00C76412">
        <w:rPr>
          <w:rFonts w:cstheme="minorHAnsi"/>
          <w:b/>
        </w:rPr>
        <w:t>β, µ and v SIVR model parameters.</w:t>
      </w:r>
      <w:r w:rsidR="00C76412">
        <w:rPr>
          <w:rFonts w:cstheme="minorHAnsi"/>
        </w:rPr>
        <w:t xml:space="preserve"> Prior distributions were set for all 3 parameters </w:t>
      </w:r>
      <w:proofErr w:type="gramStart"/>
      <w:r w:rsidR="00C76412">
        <w:rPr>
          <w:rFonts w:cstheme="minorHAnsi"/>
        </w:rPr>
        <w:t xml:space="preserve">as </w:t>
      </w:r>
      <w:proofErr w:type="gramEnd"/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C76412">
        <w:rPr>
          <w:rFonts w:cstheme="minorHAnsi"/>
        </w:rPr>
        <w:t>. The ABC model f</w:t>
      </w:r>
      <w:r w:rsidR="00DB5EB6">
        <w:rPr>
          <w:rFonts w:cstheme="minorHAnsi"/>
        </w:rPr>
        <w:t>itting approach was run until 25</w:t>
      </w:r>
      <w:r w:rsidR="00C76412">
        <w:rPr>
          <w:rFonts w:cstheme="minorHAnsi"/>
        </w:rPr>
        <w:t xml:space="preserve">00 particles were accepted. </w:t>
      </w:r>
    </w:p>
    <w:p w:rsidR="00C76412" w:rsidRDefault="00561970" w:rsidP="00561970">
      <w:pPr>
        <w:spacing w:after="0" w:line="240" w:lineRule="auto"/>
        <w:jc w:val="both"/>
      </w:pPr>
      <w:r>
        <w:lastRenderedPageBreak/>
        <w:t xml:space="preserve">The MAP of the posterior distributions </w:t>
      </w:r>
      <w:r w:rsidRPr="00561970">
        <w:t xml:space="preserve">for </w:t>
      </w:r>
      <w:r w:rsidRPr="00561970">
        <w:rPr>
          <w:rFonts w:cstheme="minorHAnsi"/>
        </w:rPr>
        <w:t>β, µ and v</w:t>
      </w:r>
      <w:r w:rsidR="00C76412" w:rsidRPr="00561970">
        <w:t xml:space="preserve"> parameters</w:t>
      </w:r>
      <w:r w:rsidR="00C76412" w:rsidRPr="00C76412">
        <w:t xml:space="preserve"> result</w:t>
      </w:r>
      <w:r w:rsidR="00C76412">
        <w:t>ed</w:t>
      </w:r>
      <w:r w:rsidR="00C76412" w:rsidRPr="00C76412">
        <w:t xml:space="preserve"> in a basic reproduction number of </w:t>
      </w:r>
      <w:r w:rsidR="00C76412">
        <w:t>1.29</w:t>
      </w:r>
      <w:r w:rsidR="0039146D">
        <w:t>8</w:t>
      </w:r>
      <w:r w:rsidR="00C76412">
        <w:t xml:space="preserve"> in the SIVR model</w:t>
      </w:r>
      <w:r w:rsidR="00DB5EB6">
        <w:t xml:space="preserve"> (</w:t>
      </w:r>
      <w:proofErr w:type="spellStart"/>
      <w:r w:rsidR="00DB5EB6">
        <w:t>eqn</w:t>
      </w:r>
      <w:proofErr w:type="spellEnd"/>
      <w:r w:rsidR="00DB5EB6">
        <w:t xml:space="preserve"> 1.1)</w:t>
      </w:r>
      <w:r w:rsidR="00C76412">
        <w:t>. The resulting SIVR epidemic curve (</w:t>
      </w:r>
      <w:r w:rsidR="0039146D">
        <w:t xml:space="preserve">the </w:t>
      </w:r>
      <w:r w:rsidR="00C76412" w:rsidRPr="0039146D">
        <w:rPr>
          <w:i/>
        </w:rPr>
        <w:t>v</w:t>
      </w:r>
      <w:r w:rsidR="00C76412">
        <w:t xml:space="preserve"> parameter was</w:t>
      </w:r>
      <w:r>
        <w:t xml:space="preserve"> slightly</w:t>
      </w:r>
      <w:r w:rsidR="00C76412">
        <w:t xml:space="preserve"> </w:t>
      </w:r>
      <w:r>
        <w:t>altered</w:t>
      </w:r>
      <w:r w:rsidR="0039146D">
        <w:t xml:space="preserve"> </w:t>
      </w:r>
      <w:r w:rsidR="00DB5EB6">
        <w:t xml:space="preserve">from 0.13 </w:t>
      </w:r>
      <w:r w:rsidR="0039146D">
        <w:t>to 0.094</w:t>
      </w:r>
      <w:r w:rsidR="00C76412">
        <w:t xml:space="preserve"> to provide a </w:t>
      </w:r>
      <w:r w:rsidR="0039146D">
        <w:t>closer</w:t>
      </w:r>
      <w:r w:rsidR="00C76412">
        <w:t xml:space="preserve"> fit to the SIHR epidemic curve) was plotted against the initialised SIHR epidemic curve (Figure 4).  </w:t>
      </w:r>
    </w:p>
    <w:p w:rsidR="00C76412" w:rsidRPr="00C76412" w:rsidRDefault="00C76412" w:rsidP="008C1700">
      <w:pPr>
        <w:spacing w:after="0" w:line="240" w:lineRule="auto"/>
      </w:pPr>
    </w:p>
    <w:p w:rsidR="00C76412" w:rsidRDefault="0039146D" w:rsidP="00C76412">
      <w:pPr>
        <w:spacing w:after="0" w:line="240" w:lineRule="auto"/>
        <w:jc w:val="center"/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548E1B05" wp14:editId="7C075CC7">
            <wp:extent cx="5505798" cy="484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833" cy="485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4" w:rsidRDefault="00C76412" w:rsidP="00C76412">
      <w:pPr>
        <w:spacing w:after="0" w:line="240" w:lineRule="auto"/>
        <w:rPr>
          <w:b/>
        </w:rPr>
      </w:pPr>
      <w:r w:rsidRPr="000541DF">
        <w:rPr>
          <w:b/>
        </w:rPr>
        <w:t xml:space="preserve">Figure 4 – </w:t>
      </w:r>
      <w:r w:rsidR="000541DF" w:rsidRPr="000541DF">
        <w:rPr>
          <w:b/>
        </w:rPr>
        <w:t>Epidemic Curves for the</w:t>
      </w:r>
      <w:r w:rsidR="00DB5EB6">
        <w:rPr>
          <w:b/>
        </w:rPr>
        <w:t xml:space="preserve"> initial</w:t>
      </w:r>
      <w:r w:rsidR="000541DF" w:rsidRPr="000541DF">
        <w:rPr>
          <w:b/>
        </w:rPr>
        <w:t xml:space="preserve"> SIHR model and the fitted SIVR model. </w:t>
      </w:r>
      <w:r w:rsidR="000541DF" w:rsidRPr="000541DF">
        <w:t>Both models were run for 200 days with a time step of 1 day. Both models were initiated with S = 0.9999, I/</w:t>
      </w:r>
      <w:proofErr w:type="gramStart"/>
      <w:r w:rsidR="000541DF" w:rsidRPr="000541DF">
        <w:t>I</w:t>
      </w:r>
      <w:r w:rsidR="000541DF" w:rsidRPr="000541DF">
        <w:rPr>
          <w:vertAlign w:val="subscript"/>
        </w:rPr>
        <w:t>v</w:t>
      </w:r>
      <w:proofErr w:type="gramEnd"/>
      <w:r w:rsidR="000541DF" w:rsidRPr="000541DF">
        <w:t xml:space="preserve"> = 0.0001 and all other SIVR/SIHR compartments being initialised at 0.</w:t>
      </w:r>
    </w:p>
    <w:p w:rsidR="000541DF" w:rsidRPr="000541DF" w:rsidRDefault="000541DF" w:rsidP="00C76412">
      <w:pPr>
        <w:spacing w:after="0" w:line="240" w:lineRule="auto"/>
        <w:rPr>
          <w:b/>
        </w:rPr>
      </w:pPr>
    </w:p>
    <w:p w:rsidR="000541DF" w:rsidRPr="00251F88" w:rsidRDefault="00C76412" w:rsidP="00C76412">
      <w:pPr>
        <w:spacing w:after="0" w:line="240" w:lineRule="auto"/>
        <w:rPr>
          <w:b/>
        </w:rPr>
      </w:pPr>
      <w:r w:rsidRPr="00251F88">
        <w:rPr>
          <w:b/>
        </w:rPr>
        <w:t xml:space="preserve">Table 1 </w:t>
      </w:r>
      <w:r>
        <w:rPr>
          <w:b/>
        </w:rPr>
        <w:t>–</w:t>
      </w:r>
      <w:r w:rsidRPr="00251F88">
        <w:rPr>
          <w:b/>
        </w:rPr>
        <w:t xml:space="preserve"> </w:t>
      </w:r>
      <w:r>
        <w:rPr>
          <w:b/>
        </w:rPr>
        <w:t xml:space="preserve">Parameter </w:t>
      </w:r>
      <w:r w:rsidR="000541DF">
        <w:rPr>
          <w:b/>
        </w:rPr>
        <w:t>Values for the Plotted Curves</w:t>
      </w:r>
      <w:r>
        <w:rPr>
          <w:b/>
        </w:rPr>
        <w:t xml:space="preserve">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94"/>
        <w:gridCol w:w="1394"/>
        <w:gridCol w:w="1843"/>
      </w:tblGrid>
      <w:tr w:rsidR="00C76412" w:rsidTr="00054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C76412" w:rsidRPr="0091490D" w:rsidRDefault="00C76412" w:rsidP="00C76412">
            <w:pPr>
              <w:spacing w:line="276" w:lineRule="auto"/>
              <w:jc w:val="center"/>
            </w:pPr>
            <w:r w:rsidRPr="0091490D">
              <w:t>Parameter</w:t>
            </w:r>
          </w:p>
        </w:tc>
        <w:tc>
          <w:tcPr>
            <w:tcW w:w="1394" w:type="dxa"/>
          </w:tcPr>
          <w:p w:rsidR="00C76412" w:rsidRPr="0091490D" w:rsidRDefault="00C76412" w:rsidP="00C7641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SIHR Model</w:t>
            </w:r>
          </w:p>
        </w:tc>
        <w:tc>
          <w:tcPr>
            <w:tcW w:w="1843" w:type="dxa"/>
          </w:tcPr>
          <w:p w:rsidR="00C76412" w:rsidRPr="0091490D" w:rsidRDefault="00C76412" w:rsidP="00C7641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SIVR Model</w:t>
            </w:r>
          </w:p>
        </w:tc>
      </w:tr>
      <w:tr w:rsidR="000541DF" w:rsidTr="0005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0541DF" w:rsidRPr="00820B8E" w:rsidRDefault="000541DF" w:rsidP="00273D58">
            <w:pPr>
              <w:spacing w:line="276" w:lineRule="auto"/>
              <w:jc w:val="center"/>
              <w:rPr>
                <w:rFonts w:cstheme="minorHAnsi"/>
                <w:b w:val="0"/>
              </w:rPr>
            </w:pPr>
            <w:r w:rsidRPr="00820B8E">
              <w:rPr>
                <w:rFonts w:cstheme="minorHAnsi"/>
                <w:b w:val="0"/>
              </w:rPr>
              <w:t>R</w:t>
            </w:r>
            <w:r w:rsidRPr="00820B8E">
              <w:rPr>
                <w:rFonts w:cstheme="minorHAnsi"/>
                <w:b w:val="0"/>
                <w:vertAlign w:val="subscript"/>
              </w:rPr>
              <w:t>0</w:t>
            </w:r>
          </w:p>
        </w:tc>
        <w:tc>
          <w:tcPr>
            <w:tcW w:w="1394" w:type="dxa"/>
          </w:tcPr>
          <w:p w:rsidR="000541DF" w:rsidRPr="000541DF" w:rsidRDefault="000541DF" w:rsidP="000541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1DF">
              <w:t>2</w:t>
            </w:r>
          </w:p>
        </w:tc>
        <w:tc>
          <w:tcPr>
            <w:tcW w:w="1843" w:type="dxa"/>
          </w:tcPr>
          <w:p w:rsidR="000541DF" w:rsidRPr="000541DF" w:rsidRDefault="0039146D" w:rsidP="000541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1.298</w:t>
            </w:r>
          </w:p>
        </w:tc>
      </w:tr>
      <w:tr w:rsidR="00C76412" w:rsidTr="00820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C76412" w:rsidRPr="00820B8E" w:rsidRDefault="00C76412" w:rsidP="00273D58">
            <w:pPr>
              <w:spacing w:line="276" w:lineRule="auto"/>
              <w:jc w:val="center"/>
              <w:rPr>
                <w:b w:val="0"/>
              </w:rPr>
            </w:pPr>
            <w:r w:rsidRPr="00820B8E">
              <w:rPr>
                <w:rFonts w:cstheme="minorHAnsi"/>
                <w:b w:val="0"/>
              </w:rPr>
              <w:t>β</w:t>
            </w:r>
            <w:r w:rsidRPr="00820B8E">
              <w:rPr>
                <w:rFonts w:cstheme="minorHAnsi"/>
                <w:b w:val="0"/>
                <w:vertAlign w:val="subscript"/>
              </w:rPr>
              <w:t>1</w:t>
            </w:r>
          </w:p>
        </w:tc>
        <w:tc>
          <w:tcPr>
            <w:tcW w:w="1394" w:type="dxa"/>
          </w:tcPr>
          <w:p w:rsidR="00C76412" w:rsidRPr="000541DF" w:rsidRDefault="000541DF" w:rsidP="000541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41DF">
              <w:t>0.231</w:t>
            </w:r>
          </w:p>
        </w:tc>
        <w:tc>
          <w:tcPr>
            <w:tcW w:w="1843" w:type="dxa"/>
            <w:tcBorders>
              <w:bottom w:val="single" w:sz="4" w:space="0" w:color="666666" w:themeColor="text1" w:themeTint="99"/>
            </w:tcBorders>
          </w:tcPr>
          <w:p w:rsidR="00C76412" w:rsidRPr="000541DF" w:rsidRDefault="0039146D" w:rsidP="000541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0.488</w:t>
            </w:r>
          </w:p>
        </w:tc>
      </w:tr>
      <w:tr w:rsidR="00C76412" w:rsidTr="00820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C76412" w:rsidRPr="00820B8E" w:rsidRDefault="00C76412" w:rsidP="00273D58">
            <w:pPr>
              <w:spacing w:line="276" w:lineRule="auto"/>
              <w:jc w:val="center"/>
              <w:rPr>
                <w:b w:val="0"/>
              </w:rPr>
            </w:pPr>
            <w:r w:rsidRPr="00820B8E">
              <w:rPr>
                <w:rFonts w:cstheme="minorHAnsi"/>
                <w:b w:val="0"/>
              </w:rPr>
              <w:t>β</w:t>
            </w:r>
            <w:r w:rsidRPr="00820B8E">
              <w:rPr>
                <w:rFonts w:cstheme="minorHAnsi"/>
                <w:b w:val="0"/>
                <w:vertAlign w:val="subscript"/>
              </w:rPr>
              <w:t>2</w:t>
            </w:r>
          </w:p>
        </w:tc>
        <w:tc>
          <w:tcPr>
            <w:tcW w:w="1394" w:type="dxa"/>
          </w:tcPr>
          <w:p w:rsidR="00C76412" w:rsidRPr="000541DF" w:rsidRDefault="000541DF" w:rsidP="000541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1DF">
              <w:t>1.155</w:t>
            </w:r>
          </w:p>
        </w:tc>
        <w:tc>
          <w:tcPr>
            <w:tcW w:w="1843" w:type="dxa"/>
            <w:tcBorders>
              <w:tl2br w:val="single" w:sz="4" w:space="0" w:color="auto"/>
            </w:tcBorders>
          </w:tcPr>
          <w:p w:rsidR="00C76412" w:rsidRPr="00820B8E" w:rsidRDefault="00C76412" w:rsidP="000541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76412" w:rsidTr="00820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C76412" w:rsidRPr="00820B8E" w:rsidRDefault="00C76412" w:rsidP="00273D58">
            <w:pPr>
              <w:spacing w:line="276" w:lineRule="auto"/>
              <w:jc w:val="center"/>
              <w:rPr>
                <w:b w:val="0"/>
              </w:rPr>
            </w:pPr>
            <w:r w:rsidRPr="00820B8E">
              <w:rPr>
                <w:rFonts w:cstheme="minorHAnsi"/>
                <w:b w:val="0"/>
              </w:rPr>
              <w:t>µ</w:t>
            </w:r>
          </w:p>
        </w:tc>
        <w:tc>
          <w:tcPr>
            <w:tcW w:w="1394" w:type="dxa"/>
            <w:tcBorders>
              <w:bottom w:val="single" w:sz="4" w:space="0" w:color="666666" w:themeColor="text1" w:themeTint="99"/>
            </w:tcBorders>
          </w:tcPr>
          <w:p w:rsidR="00C76412" w:rsidRPr="000541DF" w:rsidRDefault="000541DF" w:rsidP="000541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41DF">
              <w:t>0.116</w:t>
            </w:r>
          </w:p>
        </w:tc>
        <w:tc>
          <w:tcPr>
            <w:tcW w:w="1843" w:type="dxa"/>
          </w:tcPr>
          <w:p w:rsidR="00C76412" w:rsidRPr="000541DF" w:rsidRDefault="0039146D" w:rsidP="000541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0.376</w:t>
            </w:r>
          </w:p>
        </w:tc>
      </w:tr>
      <w:tr w:rsidR="00C76412" w:rsidTr="00820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C76412" w:rsidRPr="00820B8E" w:rsidRDefault="00C76412" w:rsidP="00273D58">
            <w:pPr>
              <w:spacing w:line="276" w:lineRule="auto"/>
              <w:jc w:val="center"/>
              <w:rPr>
                <w:rFonts w:cstheme="minorHAnsi"/>
                <w:b w:val="0"/>
              </w:rPr>
            </w:pPr>
            <w:r w:rsidRPr="00820B8E">
              <w:rPr>
                <w:rFonts w:cstheme="minorHAnsi"/>
                <w:b w:val="0"/>
              </w:rPr>
              <w:t>v</w:t>
            </w:r>
          </w:p>
        </w:tc>
        <w:tc>
          <w:tcPr>
            <w:tcW w:w="1394" w:type="dxa"/>
            <w:tcBorders>
              <w:tl2br w:val="single" w:sz="4" w:space="0" w:color="auto"/>
            </w:tcBorders>
          </w:tcPr>
          <w:p w:rsidR="00C76412" w:rsidRPr="00820B8E" w:rsidRDefault="00C76412" w:rsidP="000541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43" w:type="dxa"/>
          </w:tcPr>
          <w:p w:rsidR="00C76412" w:rsidRPr="000541DF" w:rsidRDefault="0039146D" w:rsidP="000541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0.094*</w:t>
            </w:r>
          </w:p>
        </w:tc>
      </w:tr>
    </w:tbl>
    <w:p w:rsidR="00C76412" w:rsidRPr="000A6EB4" w:rsidRDefault="00953FFB" w:rsidP="00C76412">
      <w:pPr>
        <w:spacing w:after="0" w:line="240" w:lineRule="auto"/>
      </w:pPr>
      <w:r>
        <w:t>*Value slightly altered from the obtained MAP</w:t>
      </w:r>
      <w:bookmarkStart w:id="0" w:name="_GoBack"/>
      <w:bookmarkEnd w:id="0"/>
    </w:p>
    <w:sectPr w:rsidR="00C76412" w:rsidRPr="000A6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AB0"/>
    <w:multiLevelType w:val="hybridMultilevel"/>
    <w:tmpl w:val="68A84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00909"/>
    <w:multiLevelType w:val="hybridMultilevel"/>
    <w:tmpl w:val="C29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D3BD1"/>
    <w:multiLevelType w:val="hybridMultilevel"/>
    <w:tmpl w:val="16EA5B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080B"/>
    <w:multiLevelType w:val="hybridMultilevel"/>
    <w:tmpl w:val="A09AD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A0918"/>
    <w:multiLevelType w:val="hybridMultilevel"/>
    <w:tmpl w:val="31BA3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0BD5"/>
    <w:multiLevelType w:val="hybridMultilevel"/>
    <w:tmpl w:val="589A7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43EB5"/>
    <w:multiLevelType w:val="hybridMultilevel"/>
    <w:tmpl w:val="B78E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9C"/>
    <w:rsid w:val="00040C64"/>
    <w:rsid w:val="000541DF"/>
    <w:rsid w:val="000621E0"/>
    <w:rsid w:val="000A6EB4"/>
    <w:rsid w:val="001B7796"/>
    <w:rsid w:val="001B7CB9"/>
    <w:rsid w:val="0025058B"/>
    <w:rsid w:val="00251F88"/>
    <w:rsid w:val="002D1213"/>
    <w:rsid w:val="0036757F"/>
    <w:rsid w:val="0039146D"/>
    <w:rsid w:val="003F002A"/>
    <w:rsid w:val="004328CB"/>
    <w:rsid w:val="004535AE"/>
    <w:rsid w:val="004B6804"/>
    <w:rsid w:val="00561970"/>
    <w:rsid w:val="005E4ED9"/>
    <w:rsid w:val="00740EC5"/>
    <w:rsid w:val="007D123D"/>
    <w:rsid w:val="007E1499"/>
    <w:rsid w:val="00820B8E"/>
    <w:rsid w:val="00831EA2"/>
    <w:rsid w:val="008C1700"/>
    <w:rsid w:val="0091490D"/>
    <w:rsid w:val="00923F6D"/>
    <w:rsid w:val="00953FFB"/>
    <w:rsid w:val="00966E59"/>
    <w:rsid w:val="00B45294"/>
    <w:rsid w:val="00B6008F"/>
    <w:rsid w:val="00B825C2"/>
    <w:rsid w:val="00BA1A8A"/>
    <w:rsid w:val="00BD7361"/>
    <w:rsid w:val="00C54659"/>
    <w:rsid w:val="00C76412"/>
    <w:rsid w:val="00D2089C"/>
    <w:rsid w:val="00D2366D"/>
    <w:rsid w:val="00D36DFB"/>
    <w:rsid w:val="00D77A2B"/>
    <w:rsid w:val="00DB0FC6"/>
    <w:rsid w:val="00DB5EB6"/>
    <w:rsid w:val="00DD5A18"/>
    <w:rsid w:val="00DE7067"/>
    <w:rsid w:val="00E750CA"/>
    <w:rsid w:val="00F73764"/>
    <w:rsid w:val="00F9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C7CA3A"/>
  <w15:chartTrackingRefBased/>
  <w15:docId w15:val="{100AF197-D7A7-4920-BBB5-8E6C00BD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9C"/>
    <w:pPr>
      <w:ind w:left="720"/>
      <w:contextualSpacing/>
    </w:pPr>
  </w:style>
  <w:style w:type="table" w:styleId="TableGrid">
    <w:name w:val="Table Grid"/>
    <w:basedOn w:val="TableNormal"/>
    <w:uiPriority w:val="39"/>
    <w:rsid w:val="004B6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9149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149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236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3598</TotalTime>
  <Pages>5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Alex</dc:creator>
  <cp:keywords/>
  <dc:description/>
  <cp:lastModifiedBy>MORGAN Alex</cp:lastModifiedBy>
  <cp:revision>12</cp:revision>
  <dcterms:created xsi:type="dcterms:W3CDTF">2020-02-19T12:13:00Z</dcterms:created>
  <dcterms:modified xsi:type="dcterms:W3CDTF">2020-02-24T15:22:00Z</dcterms:modified>
</cp:coreProperties>
</file>