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57F175" w14:textId="3A22347C" w:rsidR="00402FCB" w:rsidRDefault="00B95B09" w:rsidP="00B95B09">
      <w:pPr>
        <w:jc w:val="center"/>
        <w:rPr>
          <w:b/>
          <w:bCs/>
          <w:u w:val="single"/>
        </w:rPr>
      </w:pPr>
      <w:r w:rsidRPr="00B95B09">
        <w:rPr>
          <w:b/>
          <w:bCs/>
          <w:u w:val="single"/>
        </w:rPr>
        <w:t>FIGURES</w:t>
      </w:r>
    </w:p>
    <w:p w14:paraId="4D445908" w14:textId="77777777" w:rsidR="00B95B09" w:rsidRPr="00B95B09" w:rsidRDefault="00B95B09" w:rsidP="00B95B09">
      <w:pPr>
        <w:jc w:val="center"/>
        <w:rPr>
          <w:b/>
          <w:bCs/>
          <w:u w:val="single"/>
        </w:rPr>
      </w:pPr>
    </w:p>
    <w:p w14:paraId="179AF7C4" w14:textId="665DF795" w:rsidR="00B95B09" w:rsidRDefault="00B95B09" w:rsidP="00B95B09">
      <w:pPr>
        <w:jc w:val="center"/>
      </w:pPr>
      <w:r>
        <w:rPr>
          <w:noProof/>
        </w:rPr>
        <w:drawing>
          <wp:inline distT="0" distB="0" distL="0" distR="0" wp14:anchorId="369D2B70" wp14:editId="2595B57E">
            <wp:extent cx="3733800" cy="2600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762131" cy="2619811"/>
                    </a:xfrm>
                    <a:prstGeom prst="rect">
                      <a:avLst/>
                    </a:prstGeom>
                    <a:noFill/>
                    <a:ln>
                      <a:noFill/>
                    </a:ln>
                  </pic:spPr>
                </pic:pic>
              </a:graphicData>
            </a:graphic>
          </wp:inline>
        </w:drawing>
      </w:r>
    </w:p>
    <w:p w14:paraId="2F1FCF67" w14:textId="7B6D47E8" w:rsidR="00B95B09" w:rsidRDefault="00B95B09" w:rsidP="00B95B09">
      <w:pPr>
        <w:jc w:val="center"/>
      </w:pPr>
      <w:r>
        <w:rPr>
          <w:noProof/>
        </w:rPr>
        <w:drawing>
          <wp:inline distT="0" distB="0" distL="0" distR="0" wp14:anchorId="46982581" wp14:editId="7F832143">
            <wp:extent cx="3895725" cy="3506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7162" cy="3516447"/>
                    </a:xfrm>
                    <a:prstGeom prst="rect">
                      <a:avLst/>
                    </a:prstGeom>
                    <a:noFill/>
                    <a:ln>
                      <a:noFill/>
                    </a:ln>
                  </pic:spPr>
                </pic:pic>
              </a:graphicData>
            </a:graphic>
          </wp:inline>
        </w:drawing>
      </w:r>
    </w:p>
    <w:p w14:paraId="72647AE8" w14:textId="77777777" w:rsidR="00B95B09" w:rsidRDefault="00B95B09" w:rsidP="00B95B09"/>
    <w:p w14:paraId="13CC03FB" w14:textId="11A93921" w:rsidR="00B95B09" w:rsidRDefault="00B95B09" w:rsidP="00B95B09">
      <w:pPr>
        <w:jc w:val="both"/>
      </w:pPr>
      <w:r w:rsidRPr="00B95B09">
        <w:rPr>
          <w:b/>
          <w:bCs/>
        </w:rPr>
        <w:t>Figure 1</w:t>
      </w:r>
      <w:r>
        <w:t xml:space="preserve"> - </w:t>
      </w:r>
      <w:r>
        <w:t>The SIRS model structure (A) defined by Susceptible, Infectious and Remainder compartments and (B) the 20-20-20-20-20 network structure with five equal sized populations: vulnerable (V), shielders (S) and three remainder populations (R1, R2 and R3). This illustrates the baseline with five equal sized populations,</w:t>
      </w:r>
      <w:r>
        <w:t xml:space="preserve"> </w:t>
      </w:r>
      <w:r>
        <w:t>but can be extended to n equal sized populations by increasing the number of remainder subpopulations. We define four values of the rate of transmission (</w:t>
      </w:r>
      <w:r>
        <w:rPr>
          <w:rFonts w:cstheme="minorHAnsi"/>
        </w:rPr>
        <w:t>β</w:t>
      </w:r>
      <w:r>
        <w:t xml:space="preserve">) with </w:t>
      </w:r>
      <w:r>
        <w:rPr>
          <w:rFonts w:cstheme="minorHAnsi"/>
        </w:rPr>
        <w:t>β</w:t>
      </w:r>
      <w:r>
        <w:rPr>
          <w:rFonts w:cstheme="minorHAnsi"/>
          <w:vertAlign w:val="subscript"/>
        </w:rPr>
        <w:t>1</w:t>
      </w:r>
      <w:r>
        <w:rPr>
          <w:rFonts w:cstheme="minorHAnsi"/>
        </w:rPr>
        <w:t xml:space="preserve"> defining the rate of transmission within and between the vulnerable and shielders; β</w:t>
      </w:r>
      <w:r>
        <w:rPr>
          <w:rFonts w:cstheme="minorHAnsi"/>
          <w:vertAlign w:val="subscript"/>
        </w:rPr>
        <w:t>2</w:t>
      </w:r>
      <w:r>
        <w:rPr>
          <w:rFonts w:cstheme="minorHAnsi"/>
        </w:rPr>
        <w:t xml:space="preserve"> defines transmission between shielders and remainders; β</w:t>
      </w:r>
      <w:r>
        <w:rPr>
          <w:rFonts w:cstheme="minorHAnsi"/>
          <w:vertAlign w:val="subscript"/>
        </w:rPr>
        <w:t xml:space="preserve">3 </w:t>
      </w:r>
      <w:r>
        <w:t xml:space="preserve">defines transmission between the remainder populations and </w:t>
      </w:r>
      <w:r>
        <w:rPr>
          <w:rFonts w:cstheme="minorHAnsi"/>
        </w:rPr>
        <w:t>β</w:t>
      </w:r>
      <w:r>
        <w:rPr>
          <w:rFonts w:cstheme="minorHAnsi"/>
          <w:vertAlign w:val="subscript"/>
        </w:rPr>
        <w:t>4</w:t>
      </w:r>
      <w:r>
        <w:rPr>
          <w:rFonts w:cstheme="minorHAnsi"/>
        </w:rPr>
        <w:t xml:space="preserve"> defines transmission between remainder and vulnerable populations. Infectious compartments recover at rate γ and recovered compartments lose immunity at rate ζ.</w:t>
      </w:r>
    </w:p>
    <w:p w14:paraId="2585649A" w14:textId="2D00FDC7" w:rsidR="00B95B09" w:rsidRDefault="00190BBD" w:rsidP="00190BBD">
      <w:pPr>
        <w:jc w:val="center"/>
      </w:pPr>
      <w:r w:rsidRPr="00190BBD">
        <w:lastRenderedPageBreak/>
        <w:drawing>
          <wp:inline distT="0" distB="0" distL="0" distR="0" wp14:anchorId="1A148540" wp14:editId="43F2301A">
            <wp:extent cx="5512041" cy="70387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7014" cy="7045103"/>
                    </a:xfrm>
                    <a:prstGeom prst="rect">
                      <a:avLst/>
                    </a:prstGeom>
                  </pic:spPr>
                </pic:pic>
              </a:graphicData>
            </a:graphic>
          </wp:inline>
        </w:drawing>
      </w:r>
    </w:p>
    <w:p w14:paraId="2E2A079F" w14:textId="5175E96B" w:rsidR="00B95B09" w:rsidRDefault="00B95B09">
      <w:pPr>
        <w:rPr>
          <w:b/>
          <w:bCs/>
        </w:rPr>
      </w:pPr>
      <w:r w:rsidRPr="00B95B09">
        <w:rPr>
          <w:b/>
          <w:bCs/>
        </w:rPr>
        <w:t xml:space="preserve">Figure 2 </w:t>
      </w:r>
      <w:r>
        <w:rPr>
          <w:b/>
          <w:bCs/>
        </w:rPr>
        <w:t>–</w:t>
      </w:r>
      <w:r w:rsidRPr="00B95B09">
        <w:rPr>
          <w:b/>
          <w:bCs/>
        </w:rPr>
        <w:t xml:space="preserve"> </w:t>
      </w:r>
      <w:r w:rsidR="00592B3F">
        <w:rPr>
          <w:b/>
          <w:bCs/>
        </w:rPr>
        <w:t>Baseline “Central Analysis”  + Beta and R0 plots</w:t>
      </w:r>
    </w:p>
    <w:p w14:paraId="432B7D04" w14:textId="0325A52B" w:rsidR="00B95B09" w:rsidRDefault="00B95B09">
      <w:pPr>
        <w:rPr>
          <w:b/>
          <w:bCs/>
        </w:rPr>
      </w:pPr>
    </w:p>
    <w:p w14:paraId="563E1054" w14:textId="260538B7" w:rsidR="00B95B09" w:rsidRDefault="00B95B09">
      <w:pPr>
        <w:rPr>
          <w:b/>
          <w:bCs/>
        </w:rPr>
      </w:pPr>
    </w:p>
    <w:p w14:paraId="315D98ED" w14:textId="6EC08AC5" w:rsidR="00B95B09" w:rsidRDefault="00B95B09">
      <w:pPr>
        <w:rPr>
          <w:b/>
          <w:bCs/>
        </w:rPr>
      </w:pPr>
    </w:p>
    <w:p w14:paraId="6B989D20" w14:textId="58D0D4AD" w:rsidR="00B95B09" w:rsidRDefault="00B95B09">
      <w:pPr>
        <w:rPr>
          <w:b/>
          <w:bCs/>
        </w:rPr>
      </w:pPr>
    </w:p>
    <w:p w14:paraId="5E7BDB05" w14:textId="508E376A" w:rsidR="00B95B09" w:rsidRDefault="00B95B09">
      <w:pPr>
        <w:rPr>
          <w:b/>
          <w:bCs/>
        </w:rPr>
      </w:pPr>
    </w:p>
    <w:p w14:paraId="7AF0CD39" w14:textId="7C4FBEEA" w:rsidR="00B95B09" w:rsidRDefault="00592B3F" w:rsidP="00B95B09">
      <w:pPr>
        <w:rPr>
          <w:b/>
          <w:bCs/>
        </w:rPr>
      </w:pPr>
      <w:r>
        <w:rPr>
          <w:b/>
          <w:bCs/>
          <w:noProof/>
        </w:rPr>
        <w:lastRenderedPageBreak/>
        <w:drawing>
          <wp:inline distT="0" distB="0" distL="0" distR="0" wp14:anchorId="24EE579C" wp14:editId="78372D50">
            <wp:extent cx="5690385" cy="35718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1231" cy="3584960"/>
                    </a:xfrm>
                    <a:prstGeom prst="rect">
                      <a:avLst/>
                    </a:prstGeom>
                    <a:noFill/>
                  </pic:spPr>
                </pic:pic>
              </a:graphicData>
            </a:graphic>
          </wp:inline>
        </w:drawing>
      </w:r>
    </w:p>
    <w:p w14:paraId="47261D94" w14:textId="62724538" w:rsidR="00592B3F" w:rsidRDefault="00B95B09" w:rsidP="00592B3F">
      <w:pPr>
        <w:rPr>
          <w:b/>
          <w:bCs/>
        </w:rPr>
      </w:pPr>
      <w:r>
        <w:rPr>
          <w:b/>
          <w:bCs/>
        </w:rPr>
        <w:t>Figure 3</w:t>
      </w:r>
      <w:r w:rsidR="00592B3F">
        <w:rPr>
          <w:b/>
          <w:bCs/>
        </w:rPr>
        <w:t xml:space="preserve"> – Ramp up vs Ramp Down sensitivity Analysis </w:t>
      </w:r>
    </w:p>
    <w:p w14:paraId="54D64EE2" w14:textId="77777777" w:rsidR="00592B3F" w:rsidRDefault="00592B3F" w:rsidP="00592B3F">
      <w:pPr>
        <w:rPr>
          <w:b/>
          <w:bCs/>
        </w:rPr>
      </w:pPr>
    </w:p>
    <w:p w14:paraId="0652C7DB" w14:textId="7DF0DB94" w:rsidR="00592B3F" w:rsidRDefault="00592B3F" w:rsidP="00592B3F">
      <w:pPr>
        <w:jc w:val="center"/>
        <w:rPr>
          <w:b/>
          <w:bCs/>
        </w:rPr>
      </w:pPr>
      <w:r>
        <w:rPr>
          <w:b/>
          <w:bCs/>
          <w:noProof/>
        </w:rPr>
        <w:drawing>
          <wp:inline distT="0" distB="0" distL="0" distR="0" wp14:anchorId="40010194" wp14:editId="1BBB2DCE">
            <wp:extent cx="5695950" cy="37232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9040" cy="3731835"/>
                    </a:xfrm>
                    <a:prstGeom prst="rect">
                      <a:avLst/>
                    </a:prstGeom>
                    <a:noFill/>
                  </pic:spPr>
                </pic:pic>
              </a:graphicData>
            </a:graphic>
          </wp:inline>
        </w:drawing>
      </w:r>
    </w:p>
    <w:p w14:paraId="5E7DBB84" w14:textId="6A9CE4CE" w:rsidR="00592B3F" w:rsidRDefault="00592B3F" w:rsidP="00592B3F">
      <w:pPr>
        <w:rPr>
          <w:b/>
          <w:bCs/>
        </w:rPr>
      </w:pPr>
      <w:r>
        <w:rPr>
          <w:b/>
          <w:bCs/>
        </w:rPr>
        <w:t>Figure 4 - Sensitivity Analysis for Trigger Point and Phase 2 Betas</w:t>
      </w:r>
    </w:p>
    <w:p w14:paraId="5A6162FF" w14:textId="77777777" w:rsidR="00592B3F" w:rsidRDefault="00592B3F" w:rsidP="00B95B09">
      <w:pPr>
        <w:jc w:val="center"/>
        <w:rPr>
          <w:b/>
          <w:bCs/>
        </w:rPr>
      </w:pPr>
    </w:p>
    <w:p w14:paraId="0F316A13" w14:textId="77777777" w:rsidR="00592B3F" w:rsidRDefault="00592B3F" w:rsidP="00B95B09">
      <w:pPr>
        <w:jc w:val="center"/>
        <w:rPr>
          <w:b/>
          <w:bCs/>
        </w:rPr>
      </w:pPr>
    </w:p>
    <w:p w14:paraId="071A2C0D" w14:textId="651FC765" w:rsidR="00B95B09" w:rsidRDefault="00B95B09" w:rsidP="00B95B09">
      <w:pPr>
        <w:jc w:val="center"/>
        <w:rPr>
          <w:b/>
          <w:bCs/>
        </w:rPr>
      </w:pPr>
      <w:r>
        <w:rPr>
          <w:b/>
          <w:bCs/>
          <w:noProof/>
        </w:rPr>
        <w:lastRenderedPageBreak/>
        <w:drawing>
          <wp:inline distT="0" distB="0" distL="0" distR="0" wp14:anchorId="02CAA343" wp14:editId="5B6570D0">
            <wp:extent cx="3285308" cy="544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2814" cy="5460748"/>
                    </a:xfrm>
                    <a:prstGeom prst="rect">
                      <a:avLst/>
                    </a:prstGeom>
                    <a:noFill/>
                  </pic:spPr>
                </pic:pic>
              </a:graphicData>
            </a:graphic>
          </wp:inline>
        </w:drawing>
      </w:r>
    </w:p>
    <w:p w14:paraId="307F0696" w14:textId="347F65BE" w:rsidR="00B95B09" w:rsidRDefault="00B95B09" w:rsidP="00B95B09">
      <w:pPr>
        <w:jc w:val="center"/>
        <w:rPr>
          <w:b/>
          <w:bCs/>
        </w:rPr>
      </w:pPr>
    </w:p>
    <w:p w14:paraId="166EF63A" w14:textId="645C0A3C" w:rsidR="00B95B09" w:rsidRDefault="00B95B09" w:rsidP="00B95B09">
      <w:pPr>
        <w:rPr>
          <w:b/>
          <w:bCs/>
        </w:rPr>
      </w:pPr>
      <w:r>
        <w:rPr>
          <w:b/>
          <w:bCs/>
        </w:rPr>
        <w:t xml:space="preserve">Figure </w:t>
      </w:r>
      <w:r w:rsidR="00592B3F">
        <w:rPr>
          <w:b/>
          <w:bCs/>
        </w:rPr>
        <w:t>5 – Variation in Phase 1 Beta and Zeta values (expressed in 1/zeta) on the relative height of 2</w:t>
      </w:r>
      <w:r w:rsidR="00592B3F" w:rsidRPr="00592B3F">
        <w:rPr>
          <w:b/>
          <w:bCs/>
          <w:vertAlign w:val="superscript"/>
        </w:rPr>
        <w:t>nd</w:t>
      </w:r>
      <w:r w:rsidR="00592B3F">
        <w:rPr>
          <w:b/>
          <w:bCs/>
        </w:rPr>
        <w:t xml:space="preserve"> peak vs 1</w:t>
      </w:r>
      <w:r w:rsidR="00592B3F" w:rsidRPr="00592B3F">
        <w:rPr>
          <w:b/>
          <w:bCs/>
          <w:vertAlign w:val="superscript"/>
        </w:rPr>
        <w:t>st</w:t>
      </w:r>
      <w:r w:rsidR="00592B3F">
        <w:rPr>
          <w:b/>
          <w:bCs/>
        </w:rPr>
        <w:t xml:space="preserve"> peak. </w:t>
      </w:r>
    </w:p>
    <w:p w14:paraId="17A8A458" w14:textId="3BB58216" w:rsidR="00592B3F" w:rsidRDefault="00592B3F" w:rsidP="00B95B09">
      <w:pPr>
        <w:rPr>
          <w:b/>
          <w:bCs/>
        </w:rPr>
      </w:pPr>
    </w:p>
    <w:p w14:paraId="3D4C4FB9" w14:textId="339B3BDB" w:rsidR="00592B3F" w:rsidRDefault="00592B3F" w:rsidP="00B95B09">
      <w:pPr>
        <w:rPr>
          <w:b/>
          <w:bCs/>
        </w:rPr>
      </w:pPr>
    </w:p>
    <w:p w14:paraId="65541D9E" w14:textId="6701272A" w:rsidR="00592B3F" w:rsidRDefault="00592B3F" w:rsidP="00B95B09">
      <w:pPr>
        <w:rPr>
          <w:b/>
          <w:bCs/>
        </w:rPr>
      </w:pPr>
    </w:p>
    <w:p w14:paraId="32485E42" w14:textId="1D54E850" w:rsidR="00592B3F" w:rsidRDefault="00592B3F" w:rsidP="00B95B09">
      <w:pPr>
        <w:rPr>
          <w:b/>
          <w:bCs/>
        </w:rPr>
      </w:pPr>
    </w:p>
    <w:p w14:paraId="5D6112D6" w14:textId="6927EB68" w:rsidR="00592B3F" w:rsidRDefault="00592B3F" w:rsidP="00B95B09">
      <w:pPr>
        <w:rPr>
          <w:b/>
          <w:bCs/>
        </w:rPr>
      </w:pPr>
    </w:p>
    <w:p w14:paraId="3B7EDCA2" w14:textId="0CE30341" w:rsidR="00592B3F" w:rsidRDefault="00592B3F" w:rsidP="00B95B09">
      <w:pPr>
        <w:rPr>
          <w:b/>
          <w:bCs/>
        </w:rPr>
      </w:pPr>
    </w:p>
    <w:p w14:paraId="7C008444" w14:textId="3ADF12A0" w:rsidR="00592B3F" w:rsidRDefault="00592B3F" w:rsidP="00B95B09">
      <w:pPr>
        <w:rPr>
          <w:b/>
          <w:bCs/>
        </w:rPr>
      </w:pPr>
    </w:p>
    <w:p w14:paraId="1ADA4996" w14:textId="4345C194" w:rsidR="00592B3F" w:rsidRDefault="00592B3F" w:rsidP="00B95B09">
      <w:pPr>
        <w:rPr>
          <w:b/>
          <w:bCs/>
        </w:rPr>
      </w:pPr>
    </w:p>
    <w:p w14:paraId="66202C8C" w14:textId="7B59D245" w:rsidR="00592B3F" w:rsidRDefault="00592B3F" w:rsidP="00B95B09">
      <w:pPr>
        <w:rPr>
          <w:b/>
          <w:bCs/>
        </w:rPr>
      </w:pPr>
    </w:p>
    <w:p w14:paraId="104AAA07" w14:textId="50B453EA" w:rsidR="004669EE" w:rsidRDefault="004669EE" w:rsidP="004669EE">
      <w:pPr>
        <w:jc w:val="center"/>
        <w:rPr>
          <w:b/>
          <w:bCs/>
        </w:rPr>
      </w:pPr>
      <w:r>
        <w:rPr>
          <w:b/>
          <w:bCs/>
          <w:noProof/>
        </w:rPr>
        <w:lastRenderedPageBreak/>
        <w:drawing>
          <wp:inline distT="0" distB="0" distL="0" distR="0" wp14:anchorId="380FDE1D" wp14:editId="21FEF57C">
            <wp:extent cx="5682370" cy="4409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0173" cy="4415064"/>
                    </a:xfrm>
                    <a:prstGeom prst="rect">
                      <a:avLst/>
                    </a:prstGeom>
                    <a:noFill/>
                  </pic:spPr>
                </pic:pic>
              </a:graphicData>
            </a:graphic>
          </wp:inline>
        </w:drawing>
      </w:r>
    </w:p>
    <w:p w14:paraId="1EE3170C" w14:textId="77777777" w:rsidR="004669EE" w:rsidRDefault="004669EE" w:rsidP="004669EE">
      <w:pPr>
        <w:rPr>
          <w:rStyle w:val="figurecaption"/>
        </w:rPr>
      </w:pPr>
      <w:r>
        <w:rPr>
          <w:b/>
          <w:bCs/>
        </w:rPr>
        <w:t xml:space="preserve">Figure 6 – </w:t>
      </w:r>
      <w:r>
        <w:rPr>
          <w:rStyle w:val="figurecaption"/>
        </w:rPr>
        <w:t xml:space="preserve">Results of a global sensitivity analysis on three key epidemic measures with regards the proportion of the vulnerable population that become infected (Iv): 1) the height of the second peak of </w:t>
      </w:r>
      <w:r>
        <w:rPr>
          <w:rStyle w:val="figurecaption"/>
          <w:highlight w:val="yellow"/>
        </w:rPr>
        <w:t>Iv</w:t>
      </w:r>
      <w:r>
        <w:rPr>
          <w:rStyle w:val="figurecaption"/>
        </w:rPr>
        <w:t xml:space="preserve">; 2) whether the second peak of </w:t>
      </w:r>
      <w:r>
        <w:rPr>
          <w:rStyle w:val="figurecaption"/>
          <w:highlight w:val="yellow"/>
        </w:rPr>
        <w:t>Iv</w:t>
      </w:r>
      <w:r>
        <w:rPr>
          <w:rStyle w:val="figurecaption"/>
        </w:rPr>
        <w:t xml:space="preserve"> is higher than the first peak and 3) cumulative Iv one year after </w:t>
      </w:r>
      <w:r>
        <w:rPr>
          <w:rStyle w:val="figurecaption"/>
          <w:highlight w:val="yellow"/>
        </w:rPr>
        <w:t>the start of the lockdown</w:t>
      </w:r>
      <w:r>
        <w:rPr>
          <w:rStyle w:val="figurecaption"/>
        </w:rPr>
        <w:t xml:space="preserve">. The bars show the partial variance of the individual model parameters. Higher bars indicate greater sensitivity of the model to that parameter. </w:t>
      </w:r>
    </w:p>
    <w:p w14:paraId="569B60E4" w14:textId="77777777" w:rsidR="004669EE" w:rsidRDefault="004669EE" w:rsidP="004669EE">
      <w:pPr>
        <w:rPr>
          <w:rStyle w:val="figurecaption"/>
        </w:rPr>
      </w:pPr>
    </w:p>
    <w:p w14:paraId="06D7D149" w14:textId="2F6F2997" w:rsidR="004669EE" w:rsidRDefault="004669EE" w:rsidP="004669EE">
      <w:pPr>
        <w:rPr>
          <w:rStyle w:val="figurecaption"/>
        </w:rPr>
      </w:pPr>
      <w:r>
        <w:rPr>
          <w:rStyle w:val="figurecaption"/>
        </w:rPr>
        <w:t xml:space="preserve">The results clearly show that it is beta_II and </w:t>
      </w:r>
      <w:r>
        <w:rPr>
          <w:rFonts w:cstheme="minorHAnsi"/>
        </w:rPr>
        <w:t>β</w:t>
      </w:r>
      <w:r>
        <w:rPr>
          <w:rFonts w:cstheme="minorHAnsi"/>
          <w:vertAlign w:val="subscript"/>
        </w:rPr>
        <w:t>3</w:t>
      </w:r>
      <w:r>
        <w:rPr>
          <w:rStyle w:val="figurecaption"/>
        </w:rPr>
        <w:t xml:space="preserve"> (parameters that determine transmission between the non-vulnerable populations) that will be key to determining the size of epidemic that affect the vulnerable population. See Material and methods section for details about the sensitivity analysis and parameter ranges used.</w:t>
      </w:r>
    </w:p>
    <w:p w14:paraId="2084A23B" w14:textId="02A4AC58" w:rsidR="004669EE" w:rsidRDefault="004669EE" w:rsidP="004669EE">
      <w:pPr>
        <w:rPr>
          <w:rStyle w:val="figurecaption"/>
        </w:rPr>
      </w:pPr>
    </w:p>
    <w:p w14:paraId="0274582E" w14:textId="446796A2" w:rsidR="004669EE" w:rsidRDefault="004669EE" w:rsidP="004669EE">
      <w:pPr>
        <w:rPr>
          <w:rStyle w:val="figurecaption"/>
        </w:rPr>
      </w:pPr>
    </w:p>
    <w:p w14:paraId="550A9EFC" w14:textId="13820F74" w:rsidR="004669EE" w:rsidRDefault="004669EE" w:rsidP="004669EE">
      <w:pPr>
        <w:rPr>
          <w:rStyle w:val="figurecaption"/>
        </w:rPr>
      </w:pPr>
    </w:p>
    <w:p w14:paraId="7F9789D0" w14:textId="738EE500" w:rsidR="004669EE" w:rsidRDefault="004669EE" w:rsidP="004669EE">
      <w:pPr>
        <w:rPr>
          <w:rStyle w:val="figurecaption"/>
        </w:rPr>
      </w:pPr>
    </w:p>
    <w:p w14:paraId="4BF41554" w14:textId="6DE319BE" w:rsidR="004669EE" w:rsidRDefault="004669EE" w:rsidP="004669EE">
      <w:pPr>
        <w:rPr>
          <w:rStyle w:val="figurecaption"/>
        </w:rPr>
      </w:pPr>
    </w:p>
    <w:p w14:paraId="3C5F933F" w14:textId="39A0B03A" w:rsidR="004669EE" w:rsidRDefault="004669EE" w:rsidP="004669EE">
      <w:pPr>
        <w:rPr>
          <w:rStyle w:val="figurecaption"/>
        </w:rPr>
      </w:pPr>
    </w:p>
    <w:p w14:paraId="649580D4" w14:textId="567C2419" w:rsidR="004669EE" w:rsidRDefault="004669EE" w:rsidP="004669EE">
      <w:pPr>
        <w:rPr>
          <w:rStyle w:val="figurecaption"/>
        </w:rPr>
      </w:pPr>
    </w:p>
    <w:p w14:paraId="7381C02D" w14:textId="53B66A2B" w:rsidR="004669EE" w:rsidRDefault="004669EE" w:rsidP="004669EE">
      <w:pPr>
        <w:rPr>
          <w:rStyle w:val="figurecaption"/>
        </w:rPr>
      </w:pPr>
    </w:p>
    <w:p w14:paraId="1813DC26" w14:textId="4CF16031" w:rsidR="004669EE" w:rsidRDefault="004669EE" w:rsidP="004669EE">
      <w:pPr>
        <w:rPr>
          <w:rStyle w:val="figurecaption"/>
        </w:rPr>
      </w:pPr>
    </w:p>
    <w:p w14:paraId="63040F17" w14:textId="460A66B1" w:rsidR="004669EE" w:rsidRDefault="001F41DD" w:rsidP="004669EE">
      <w:pPr>
        <w:rPr>
          <w:rStyle w:val="figurecaption"/>
        </w:rPr>
      </w:pPr>
      <w:r>
        <w:rPr>
          <w:rStyle w:val="figurecaption"/>
          <w:noProof/>
        </w:rPr>
        <w:drawing>
          <wp:inline distT="0" distB="0" distL="0" distR="0" wp14:anchorId="50DC68D8" wp14:editId="7F5965FE">
            <wp:extent cx="5651609" cy="5199897"/>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1198" cy="5208720"/>
                    </a:xfrm>
                    <a:prstGeom prst="rect">
                      <a:avLst/>
                    </a:prstGeom>
                    <a:noFill/>
                  </pic:spPr>
                </pic:pic>
              </a:graphicData>
            </a:graphic>
          </wp:inline>
        </w:drawing>
      </w:r>
    </w:p>
    <w:p w14:paraId="1B507A91" w14:textId="4D0E6A5B" w:rsidR="004669EE" w:rsidRDefault="004669EE" w:rsidP="004669EE">
      <w:pPr>
        <w:rPr>
          <w:rFonts w:ascii="Calibri" w:hAnsi="Calibri" w:cs="Calibri"/>
          <w:color w:val="1F497D"/>
        </w:rPr>
      </w:pPr>
      <w:r>
        <w:rPr>
          <w:rFonts w:cstheme="minorHAnsi"/>
        </w:rPr>
        <w:t xml:space="preserve">Figure </w:t>
      </w:r>
      <w:r>
        <w:rPr>
          <w:rFonts w:cstheme="minorHAnsi"/>
        </w:rPr>
        <w:t>7</w:t>
      </w:r>
      <w:r>
        <w:rPr>
          <w:rFonts w:cstheme="minorHAnsi"/>
        </w:rPr>
        <w:t>. Heat maps showing the trade-offs between relaxation and protection. A) Each subplot depicts a heat map showing the cumulative fraction of the vulnerable population that become infected (Iv) one year after the start of lockdown for different combinations of β3 &amp; β4 for different values of β1 (rows) and β2 (columns).  B) As A) but for whether the second peak of is lower (green) or higher (red) than the first peak. C) As (B) but all 2</w:t>
      </w:r>
      <w:r>
        <w:rPr>
          <w:rFonts w:cstheme="minorHAnsi"/>
          <w:vertAlign w:val="superscript"/>
        </w:rPr>
        <w:t>nd</w:t>
      </w:r>
      <w:r>
        <w:rPr>
          <w:rFonts w:cstheme="minorHAnsi"/>
        </w:rPr>
        <w:t xml:space="preserve"> peaks (Iv,Ih &amp; Ir) smaller than 1</w:t>
      </w:r>
      <w:r>
        <w:rPr>
          <w:rFonts w:cstheme="minorHAnsi"/>
          <w:vertAlign w:val="superscript"/>
        </w:rPr>
        <w:t>st</w:t>
      </w:r>
      <w:r>
        <w:rPr>
          <w:rFonts w:cstheme="minorHAnsi"/>
        </w:rPr>
        <w:t xml:space="preserve"> peaks (green). D) As (B)  but dI</w:t>
      </w:r>
      <w:r>
        <w:rPr>
          <w:rFonts w:cstheme="minorHAnsi"/>
        </w:rPr>
        <w:softHyphen/>
        <w:t>/dt negative or zero for at least 365 days after the start of lockdown for all I-compartments.</w:t>
      </w:r>
    </w:p>
    <w:p w14:paraId="11F6C2DA" w14:textId="797ACAF0" w:rsidR="00592B3F" w:rsidRDefault="00592B3F" w:rsidP="00B95B09">
      <w:pPr>
        <w:rPr>
          <w:b/>
          <w:bCs/>
        </w:rPr>
      </w:pPr>
    </w:p>
    <w:p w14:paraId="00CE0FB9" w14:textId="31EA9111" w:rsidR="004669EE" w:rsidRDefault="004669EE" w:rsidP="00B95B09">
      <w:pPr>
        <w:rPr>
          <w:b/>
          <w:bCs/>
        </w:rPr>
      </w:pPr>
    </w:p>
    <w:p w14:paraId="0ECBF473" w14:textId="416D86E4" w:rsidR="004669EE" w:rsidRDefault="004669EE" w:rsidP="00B95B09">
      <w:pPr>
        <w:rPr>
          <w:b/>
          <w:bCs/>
        </w:rPr>
      </w:pPr>
    </w:p>
    <w:p w14:paraId="21DCABA0" w14:textId="29B0E7F4" w:rsidR="004669EE" w:rsidRDefault="004669EE" w:rsidP="00B95B09">
      <w:pPr>
        <w:rPr>
          <w:b/>
          <w:bCs/>
        </w:rPr>
      </w:pPr>
    </w:p>
    <w:p w14:paraId="02BF326B" w14:textId="7BFDDDE0" w:rsidR="004669EE" w:rsidRDefault="004669EE" w:rsidP="00B95B09">
      <w:pPr>
        <w:rPr>
          <w:b/>
          <w:bCs/>
        </w:rPr>
      </w:pPr>
    </w:p>
    <w:p w14:paraId="5535E49E" w14:textId="0F90771D" w:rsidR="004669EE" w:rsidRDefault="004669EE" w:rsidP="00B95B09">
      <w:pPr>
        <w:rPr>
          <w:b/>
          <w:bCs/>
        </w:rPr>
      </w:pPr>
    </w:p>
    <w:p w14:paraId="343654B9" w14:textId="235D1819" w:rsidR="004669EE" w:rsidRDefault="004669EE" w:rsidP="00B95B09">
      <w:pPr>
        <w:rPr>
          <w:b/>
          <w:bCs/>
        </w:rPr>
      </w:pPr>
    </w:p>
    <w:p w14:paraId="45723738" w14:textId="49BD4BC4" w:rsidR="004669EE" w:rsidRDefault="004669EE" w:rsidP="00B95B09">
      <w:pPr>
        <w:rPr>
          <w:b/>
          <w:bCs/>
        </w:rPr>
      </w:pPr>
    </w:p>
    <w:p w14:paraId="7E1071AB" w14:textId="57E5BAA9" w:rsidR="004669EE" w:rsidRDefault="004669EE" w:rsidP="00B95B09">
      <w:pPr>
        <w:rPr>
          <w:b/>
          <w:bCs/>
        </w:rPr>
      </w:pPr>
    </w:p>
    <w:p w14:paraId="276BBBB6" w14:textId="6B0D037D" w:rsidR="004669EE" w:rsidRDefault="004669EE" w:rsidP="00B95B09">
      <w:pPr>
        <w:rPr>
          <w:b/>
          <w:bCs/>
        </w:rPr>
      </w:pPr>
    </w:p>
    <w:p w14:paraId="6D4BD276" w14:textId="77777777" w:rsidR="004669EE" w:rsidRDefault="004669EE" w:rsidP="00B95B09">
      <w:pPr>
        <w:rPr>
          <w:b/>
          <w:bCs/>
        </w:rPr>
      </w:pPr>
    </w:p>
    <w:p w14:paraId="3D4607E1" w14:textId="42A920EC" w:rsidR="00592B3F" w:rsidRDefault="00592B3F" w:rsidP="00B95B09">
      <w:pPr>
        <w:rPr>
          <w:b/>
          <w:bCs/>
        </w:rPr>
      </w:pPr>
    </w:p>
    <w:p w14:paraId="6D60E3EF" w14:textId="39153EBC" w:rsidR="00592B3F" w:rsidRDefault="00592B3F" w:rsidP="00B95B09">
      <w:pPr>
        <w:rPr>
          <w:b/>
          <w:bCs/>
        </w:rPr>
      </w:pPr>
    </w:p>
    <w:p w14:paraId="7F149653" w14:textId="53D7DACC" w:rsidR="00592B3F" w:rsidRDefault="00592B3F" w:rsidP="00B95B09">
      <w:pPr>
        <w:rPr>
          <w:b/>
          <w:bCs/>
        </w:rPr>
      </w:pPr>
    </w:p>
    <w:p w14:paraId="1AF1ACA3" w14:textId="77777777" w:rsidR="00592B3F" w:rsidRPr="00B95B09" w:rsidRDefault="00592B3F" w:rsidP="00B95B09">
      <w:pPr>
        <w:rPr>
          <w:b/>
          <w:bCs/>
        </w:rPr>
      </w:pPr>
    </w:p>
    <w:sectPr w:rsidR="00592B3F" w:rsidRPr="00B95B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B09"/>
    <w:rsid w:val="00190BBD"/>
    <w:rsid w:val="001F41DD"/>
    <w:rsid w:val="00402FCB"/>
    <w:rsid w:val="004669EE"/>
    <w:rsid w:val="00592B3F"/>
    <w:rsid w:val="00B2572E"/>
    <w:rsid w:val="00B95B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7636"/>
  <w15:chartTrackingRefBased/>
  <w15:docId w15:val="{6C4BE259-9354-4D75-9D38-8E2A1A06B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5B09"/>
    <w:pPr>
      <w:spacing w:after="0" w:line="240" w:lineRule="auto"/>
    </w:pPr>
  </w:style>
  <w:style w:type="character" w:customStyle="1" w:styleId="figurecaption">
    <w:name w:val="figure__caption"/>
    <w:basedOn w:val="DefaultParagraphFont"/>
    <w:rsid w:val="00466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012667">
      <w:bodyDiv w:val="1"/>
      <w:marLeft w:val="0"/>
      <w:marRight w:val="0"/>
      <w:marTop w:val="0"/>
      <w:marBottom w:val="0"/>
      <w:divBdr>
        <w:top w:val="none" w:sz="0" w:space="0" w:color="auto"/>
        <w:left w:val="none" w:sz="0" w:space="0" w:color="auto"/>
        <w:bottom w:val="none" w:sz="0" w:space="0" w:color="auto"/>
        <w:right w:val="none" w:sz="0" w:space="0" w:color="auto"/>
      </w:divBdr>
    </w:div>
    <w:div w:id="1491602376">
      <w:bodyDiv w:val="1"/>
      <w:marLeft w:val="0"/>
      <w:marRight w:val="0"/>
      <w:marTop w:val="0"/>
      <w:marBottom w:val="0"/>
      <w:divBdr>
        <w:top w:val="none" w:sz="0" w:space="0" w:color="auto"/>
        <w:left w:val="none" w:sz="0" w:space="0" w:color="auto"/>
        <w:bottom w:val="none" w:sz="0" w:space="0" w:color="auto"/>
        <w:right w:val="none" w:sz="0" w:space="0" w:color="auto"/>
      </w:divBdr>
    </w:div>
    <w:div w:id="1576235948">
      <w:bodyDiv w:val="1"/>
      <w:marLeft w:val="0"/>
      <w:marRight w:val="0"/>
      <w:marTop w:val="0"/>
      <w:marBottom w:val="0"/>
      <w:divBdr>
        <w:top w:val="none" w:sz="0" w:space="0" w:color="auto"/>
        <w:left w:val="none" w:sz="0" w:space="0" w:color="auto"/>
        <w:bottom w:val="none" w:sz="0" w:space="0" w:color="auto"/>
        <w:right w:val="none" w:sz="0" w:space="0" w:color="auto"/>
      </w:divBdr>
      <w:divsChild>
        <w:div w:id="1239049467">
          <w:marLeft w:val="0"/>
          <w:marRight w:val="0"/>
          <w:marTop w:val="0"/>
          <w:marBottom w:val="0"/>
          <w:divBdr>
            <w:top w:val="none" w:sz="0" w:space="0" w:color="auto"/>
            <w:left w:val="none" w:sz="0" w:space="0" w:color="auto"/>
            <w:bottom w:val="none" w:sz="0" w:space="0" w:color="auto"/>
            <w:right w:val="none" w:sz="0" w:space="0" w:color="auto"/>
          </w:divBdr>
        </w:div>
        <w:div w:id="577177179">
          <w:marLeft w:val="0"/>
          <w:marRight w:val="0"/>
          <w:marTop w:val="0"/>
          <w:marBottom w:val="0"/>
          <w:divBdr>
            <w:top w:val="none" w:sz="0" w:space="0" w:color="auto"/>
            <w:left w:val="none" w:sz="0" w:space="0" w:color="auto"/>
            <w:bottom w:val="none" w:sz="0" w:space="0" w:color="auto"/>
            <w:right w:val="none" w:sz="0" w:space="0" w:color="auto"/>
          </w:divBdr>
        </w:div>
        <w:div w:id="1372874347">
          <w:marLeft w:val="0"/>
          <w:marRight w:val="0"/>
          <w:marTop w:val="0"/>
          <w:marBottom w:val="0"/>
          <w:divBdr>
            <w:top w:val="none" w:sz="0" w:space="0" w:color="auto"/>
            <w:left w:val="none" w:sz="0" w:space="0" w:color="auto"/>
            <w:bottom w:val="none" w:sz="0" w:space="0" w:color="auto"/>
            <w:right w:val="none" w:sz="0" w:space="0" w:color="auto"/>
          </w:divBdr>
        </w:div>
        <w:div w:id="817453719">
          <w:marLeft w:val="0"/>
          <w:marRight w:val="0"/>
          <w:marTop w:val="0"/>
          <w:marBottom w:val="0"/>
          <w:divBdr>
            <w:top w:val="none" w:sz="0" w:space="0" w:color="auto"/>
            <w:left w:val="none" w:sz="0" w:space="0" w:color="auto"/>
            <w:bottom w:val="none" w:sz="0" w:space="0" w:color="auto"/>
            <w:right w:val="none" w:sz="0" w:space="0" w:color="auto"/>
          </w:divBdr>
        </w:div>
        <w:div w:id="1997487665">
          <w:marLeft w:val="0"/>
          <w:marRight w:val="0"/>
          <w:marTop w:val="0"/>
          <w:marBottom w:val="0"/>
          <w:divBdr>
            <w:top w:val="none" w:sz="0" w:space="0" w:color="auto"/>
            <w:left w:val="none" w:sz="0" w:space="0" w:color="auto"/>
            <w:bottom w:val="none" w:sz="0" w:space="0" w:color="auto"/>
            <w:right w:val="none" w:sz="0" w:space="0" w:color="auto"/>
          </w:divBdr>
        </w:div>
        <w:div w:id="57096027">
          <w:marLeft w:val="0"/>
          <w:marRight w:val="0"/>
          <w:marTop w:val="0"/>
          <w:marBottom w:val="0"/>
          <w:divBdr>
            <w:top w:val="none" w:sz="0" w:space="0" w:color="auto"/>
            <w:left w:val="none" w:sz="0" w:space="0" w:color="auto"/>
            <w:bottom w:val="none" w:sz="0" w:space="0" w:color="auto"/>
            <w:right w:val="none" w:sz="0" w:space="0" w:color="auto"/>
          </w:divBdr>
        </w:div>
        <w:div w:id="774596659">
          <w:marLeft w:val="0"/>
          <w:marRight w:val="0"/>
          <w:marTop w:val="0"/>
          <w:marBottom w:val="0"/>
          <w:divBdr>
            <w:top w:val="none" w:sz="0" w:space="0" w:color="auto"/>
            <w:left w:val="none" w:sz="0" w:space="0" w:color="auto"/>
            <w:bottom w:val="none" w:sz="0" w:space="0" w:color="auto"/>
            <w:right w:val="none" w:sz="0" w:space="0" w:color="auto"/>
          </w:divBdr>
        </w:div>
        <w:div w:id="247664976">
          <w:marLeft w:val="0"/>
          <w:marRight w:val="0"/>
          <w:marTop w:val="0"/>
          <w:marBottom w:val="0"/>
          <w:divBdr>
            <w:top w:val="none" w:sz="0" w:space="0" w:color="auto"/>
            <w:left w:val="none" w:sz="0" w:space="0" w:color="auto"/>
            <w:bottom w:val="none" w:sz="0" w:space="0" w:color="auto"/>
            <w:right w:val="none" w:sz="0" w:space="0" w:color="auto"/>
          </w:divBdr>
        </w:div>
        <w:div w:id="666513847">
          <w:marLeft w:val="0"/>
          <w:marRight w:val="0"/>
          <w:marTop w:val="0"/>
          <w:marBottom w:val="0"/>
          <w:divBdr>
            <w:top w:val="none" w:sz="0" w:space="0" w:color="auto"/>
            <w:left w:val="none" w:sz="0" w:space="0" w:color="auto"/>
            <w:bottom w:val="none" w:sz="0" w:space="0" w:color="auto"/>
            <w:right w:val="none" w:sz="0" w:space="0" w:color="auto"/>
          </w:divBdr>
        </w:div>
        <w:div w:id="1406294655">
          <w:marLeft w:val="0"/>
          <w:marRight w:val="0"/>
          <w:marTop w:val="0"/>
          <w:marBottom w:val="0"/>
          <w:divBdr>
            <w:top w:val="none" w:sz="0" w:space="0" w:color="auto"/>
            <w:left w:val="none" w:sz="0" w:space="0" w:color="auto"/>
            <w:bottom w:val="none" w:sz="0" w:space="0" w:color="auto"/>
            <w:right w:val="none" w:sz="0" w:space="0" w:color="auto"/>
          </w:divBdr>
        </w:div>
        <w:div w:id="1620453535">
          <w:marLeft w:val="0"/>
          <w:marRight w:val="0"/>
          <w:marTop w:val="0"/>
          <w:marBottom w:val="0"/>
          <w:divBdr>
            <w:top w:val="none" w:sz="0" w:space="0" w:color="auto"/>
            <w:left w:val="none" w:sz="0" w:space="0" w:color="auto"/>
            <w:bottom w:val="none" w:sz="0" w:space="0" w:color="auto"/>
            <w:right w:val="none" w:sz="0" w:space="0" w:color="auto"/>
          </w:divBdr>
        </w:div>
        <w:div w:id="1742603772">
          <w:marLeft w:val="0"/>
          <w:marRight w:val="0"/>
          <w:marTop w:val="0"/>
          <w:marBottom w:val="0"/>
          <w:divBdr>
            <w:top w:val="none" w:sz="0" w:space="0" w:color="auto"/>
            <w:left w:val="none" w:sz="0" w:space="0" w:color="auto"/>
            <w:bottom w:val="none" w:sz="0" w:space="0" w:color="auto"/>
            <w:right w:val="none" w:sz="0" w:space="0" w:color="auto"/>
          </w:divBdr>
        </w:div>
        <w:div w:id="221721289">
          <w:marLeft w:val="0"/>
          <w:marRight w:val="0"/>
          <w:marTop w:val="0"/>
          <w:marBottom w:val="0"/>
          <w:divBdr>
            <w:top w:val="none" w:sz="0" w:space="0" w:color="auto"/>
            <w:left w:val="none" w:sz="0" w:space="0" w:color="auto"/>
            <w:bottom w:val="none" w:sz="0" w:space="0" w:color="auto"/>
            <w:right w:val="none" w:sz="0" w:space="0" w:color="auto"/>
          </w:divBdr>
        </w:div>
        <w:div w:id="1421482434">
          <w:marLeft w:val="0"/>
          <w:marRight w:val="0"/>
          <w:marTop w:val="0"/>
          <w:marBottom w:val="0"/>
          <w:divBdr>
            <w:top w:val="none" w:sz="0" w:space="0" w:color="auto"/>
            <w:left w:val="none" w:sz="0" w:space="0" w:color="auto"/>
            <w:bottom w:val="none" w:sz="0" w:space="0" w:color="auto"/>
            <w:right w:val="none" w:sz="0" w:space="0" w:color="auto"/>
          </w:divBdr>
        </w:div>
        <w:div w:id="1181503045">
          <w:marLeft w:val="0"/>
          <w:marRight w:val="0"/>
          <w:marTop w:val="0"/>
          <w:marBottom w:val="0"/>
          <w:divBdr>
            <w:top w:val="none" w:sz="0" w:space="0" w:color="auto"/>
            <w:left w:val="none" w:sz="0" w:space="0" w:color="auto"/>
            <w:bottom w:val="none" w:sz="0" w:space="0" w:color="auto"/>
            <w:right w:val="none" w:sz="0" w:space="0" w:color="auto"/>
          </w:divBdr>
        </w:div>
        <w:div w:id="1567954880">
          <w:marLeft w:val="0"/>
          <w:marRight w:val="0"/>
          <w:marTop w:val="0"/>
          <w:marBottom w:val="0"/>
          <w:divBdr>
            <w:top w:val="none" w:sz="0" w:space="0" w:color="auto"/>
            <w:left w:val="none" w:sz="0" w:space="0" w:color="auto"/>
            <w:bottom w:val="none" w:sz="0" w:space="0" w:color="auto"/>
            <w:right w:val="none" w:sz="0" w:space="0" w:color="auto"/>
          </w:divBdr>
        </w:div>
        <w:div w:id="1040008277">
          <w:marLeft w:val="0"/>
          <w:marRight w:val="0"/>
          <w:marTop w:val="0"/>
          <w:marBottom w:val="0"/>
          <w:divBdr>
            <w:top w:val="none" w:sz="0" w:space="0" w:color="auto"/>
            <w:left w:val="none" w:sz="0" w:space="0" w:color="auto"/>
            <w:bottom w:val="none" w:sz="0" w:space="0" w:color="auto"/>
            <w:right w:val="none" w:sz="0" w:space="0" w:color="auto"/>
          </w:divBdr>
        </w:div>
        <w:div w:id="392578727">
          <w:marLeft w:val="0"/>
          <w:marRight w:val="0"/>
          <w:marTop w:val="0"/>
          <w:marBottom w:val="0"/>
          <w:divBdr>
            <w:top w:val="none" w:sz="0" w:space="0" w:color="auto"/>
            <w:left w:val="none" w:sz="0" w:space="0" w:color="auto"/>
            <w:bottom w:val="none" w:sz="0" w:space="0" w:color="auto"/>
            <w:right w:val="none" w:sz="0" w:space="0" w:color="auto"/>
          </w:divBdr>
        </w:div>
        <w:div w:id="103506621">
          <w:marLeft w:val="0"/>
          <w:marRight w:val="0"/>
          <w:marTop w:val="0"/>
          <w:marBottom w:val="0"/>
          <w:divBdr>
            <w:top w:val="none" w:sz="0" w:space="0" w:color="auto"/>
            <w:left w:val="none" w:sz="0" w:space="0" w:color="auto"/>
            <w:bottom w:val="none" w:sz="0" w:space="0" w:color="auto"/>
            <w:right w:val="none" w:sz="0" w:space="0" w:color="auto"/>
          </w:divBdr>
        </w:div>
        <w:div w:id="527565383">
          <w:marLeft w:val="0"/>
          <w:marRight w:val="0"/>
          <w:marTop w:val="0"/>
          <w:marBottom w:val="0"/>
          <w:divBdr>
            <w:top w:val="none" w:sz="0" w:space="0" w:color="auto"/>
            <w:left w:val="none" w:sz="0" w:space="0" w:color="auto"/>
            <w:bottom w:val="none" w:sz="0" w:space="0" w:color="auto"/>
            <w:right w:val="none" w:sz="0" w:space="0" w:color="auto"/>
          </w:divBdr>
        </w:div>
      </w:divsChild>
    </w:div>
    <w:div w:id="1788156142">
      <w:bodyDiv w:val="1"/>
      <w:marLeft w:val="0"/>
      <w:marRight w:val="0"/>
      <w:marTop w:val="0"/>
      <w:marBottom w:val="0"/>
      <w:divBdr>
        <w:top w:val="none" w:sz="0" w:space="0" w:color="auto"/>
        <w:left w:val="none" w:sz="0" w:space="0" w:color="auto"/>
        <w:bottom w:val="none" w:sz="0" w:space="0" w:color="auto"/>
        <w:right w:val="none" w:sz="0" w:space="0" w:color="auto"/>
      </w:divBdr>
      <w:divsChild>
        <w:div w:id="1450394107">
          <w:marLeft w:val="0"/>
          <w:marRight w:val="0"/>
          <w:marTop w:val="0"/>
          <w:marBottom w:val="0"/>
          <w:divBdr>
            <w:top w:val="none" w:sz="0" w:space="0" w:color="auto"/>
            <w:left w:val="none" w:sz="0" w:space="0" w:color="auto"/>
            <w:bottom w:val="none" w:sz="0" w:space="0" w:color="auto"/>
            <w:right w:val="none" w:sz="0" w:space="0" w:color="auto"/>
          </w:divBdr>
        </w:div>
        <w:div w:id="1759059846">
          <w:marLeft w:val="0"/>
          <w:marRight w:val="0"/>
          <w:marTop w:val="0"/>
          <w:marBottom w:val="0"/>
          <w:divBdr>
            <w:top w:val="none" w:sz="0" w:space="0" w:color="auto"/>
            <w:left w:val="none" w:sz="0" w:space="0" w:color="auto"/>
            <w:bottom w:val="none" w:sz="0" w:space="0" w:color="auto"/>
            <w:right w:val="none" w:sz="0" w:space="0" w:color="auto"/>
          </w:divBdr>
        </w:div>
        <w:div w:id="1932547888">
          <w:marLeft w:val="0"/>
          <w:marRight w:val="0"/>
          <w:marTop w:val="0"/>
          <w:marBottom w:val="0"/>
          <w:divBdr>
            <w:top w:val="none" w:sz="0" w:space="0" w:color="auto"/>
            <w:left w:val="none" w:sz="0" w:space="0" w:color="auto"/>
            <w:bottom w:val="none" w:sz="0" w:space="0" w:color="auto"/>
            <w:right w:val="none" w:sz="0" w:space="0" w:color="auto"/>
          </w:divBdr>
        </w:div>
        <w:div w:id="2058314012">
          <w:marLeft w:val="0"/>
          <w:marRight w:val="0"/>
          <w:marTop w:val="0"/>
          <w:marBottom w:val="0"/>
          <w:divBdr>
            <w:top w:val="none" w:sz="0" w:space="0" w:color="auto"/>
            <w:left w:val="none" w:sz="0" w:space="0" w:color="auto"/>
            <w:bottom w:val="none" w:sz="0" w:space="0" w:color="auto"/>
            <w:right w:val="none" w:sz="0" w:space="0" w:color="auto"/>
          </w:divBdr>
        </w:div>
        <w:div w:id="133329698">
          <w:marLeft w:val="0"/>
          <w:marRight w:val="0"/>
          <w:marTop w:val="0"/>
          <w:marBottom w:val="0"/>
          <w:divBdr>
            <w:top w:val="none" w:sz="0" w:space="0" w:color="auto"/>
            <w:left w:val="none" w:sz="0" w:space="0" w:color="auto"/>
            <w:bottom w:val="none" w:sz="0" w:space="0" w:color="auto"/>
            <w:right w:val="none" w:sz="0" w:space="0" w:color="auto"/>
          </w:divBdr>
        </w:div>
        <w:div w:id="199321222">
          <w:marLeft w:val="0"/>
          <w:marRight w:val="0"/>
          <w:marTop w:val="0"/>
          <w:marBottom w:val="0"/>
          <w:divBdr>
            <w:top w:val="none" w:sz="0" w:space="0" w:color="auto"/>
            <w:left w:val="none" w:sz="0" w:space="0" w:color="auto"/>
            <w:bottom w:val="none" w:sz="0" w:space="0" w:color="auto"/>
            <w:right w:val="none" w:sz="0" w:space="0" w:color="auto"/>
          </w:divBdr>
        </w:div>
        <w:div w:id="1246257826">
          <w:marLeft w:val="0"/>
          <w:marRight w:val="0"/>
          <w:marTop w:val="0"/>
          <w:marBottom w:val="0"/>
          <w:divBdr>
            <w:top w:val="none" w:sz="0" w:space="0" w:color="auto"/>
            <w:left w:val="none" w:sz="0" w:space="0" w:color="auto"/>
            <w:bottom w:val="none" w:sz="0" w:space="0" w:color="auto"/>
            <w:right w:val="none" w:sz="0" w:space="0" w:color="auto"/>
          </w:divBdr>
        </w:div>
        <w:div w:id="337344200">
          <w:marLeft w:val="0"/>
          <w:marRight w:val="0"/>
          <w:marTop w:val="0"/>
          <w:marBottom w:val="0"/>
          <w:divBdr>
            <w:top w:val="none" w:sz="0" w:space="0" w:color="auto"/>
            <w:left w:val="none" w:sz="0" w:space="0" w:color="auto"/>
            <w:bottom w:val="none" w:sz="0" w:space="0" w:color="auto"/>
            <w:right w:val="none" w:sz="0" w:space="0" w:color="auto"/>
          </w:divBdr>
        </w:div>
        <w:div w:id="39793444">
          <w:marLeft w:val="0"/>
          <w:marRight w:val="0"/>
          <w:marTop w:val="0"/>
          <w:marBottom w:val="0"/>
          <w:divBdr>
            <w:top w:val="none" w:sz="0" w:space="0" w:color="auto"/>
            <w:left w:val="none" w:sz="0" w:space="0" w:color="auto"/>
            <w:bottom w:val="none" w:sz="0" w:space="0" w:color="auto"/>
            <w:right w:val="none" w:sz="0" w:space="0" w:color="auto"/>
          </w:divBdr>
        </w:div>
        <w:div w:id="364870170">
          <w:marLeft w:val="0"/>
          <w:marRight w:val="0"/>
          <w:marTop w:val="0"/>
          <w:marBottom w:val="0"/>
          <w:divBdr>
            <w:top w:val="none" w:sz="0" w:space="0" w:color="auto"/>
            <w:left w:val="none" w:sz="0" w:space="0" w:color="auto"/>
            <w:bottom w:val="none" w:sz="0" w:space="0" w:color="auto"/>
            <w:right w:val="none" w:sz="0" w:space="0" w:color="auto"/>
          </w:divBdr>
        </w:div>
        <w:div w:id="1881892472">
          <w:marLeft w:val="0"/>
          <w:marRight w:val="0"/>
          <w:marTop w:val="0"/>
          <w:marBottom w:val="0"/>
          <w:divBdr>
            <w:top w:val="none" w:sz="0" w:space="0" w:color="auto"/>
            <w:left w:val="none" w:sz="0" w:space="0" w:color="auto"/>
            <w:bottom w:val="none" w:sz="0" w:space="0" w:color="auto"/>
            <w:right w:val="none" w:sz="0" w:space="0" w:color="auto"/>
          </w:divBdr>
        </w:div>
        <w:div w:id="661276858">
          <w:marLeft w:val="0"/>
          <w:marRight w:val="0"/>
          <w:marTop w:val="0"/>
          <w:marBottom w:val="0"/>
          <w:divBdr>
            <w:top w:val="none" w:sz="0" w:space="0" w:color="auto"/>
            <w:left w:val="none" w:sz="0" w:space="0" w:color="auto"/>
            <w:bottom w:val="none" w:sz="0" w:space="0" w:color="auto"/>
            <w:right w:val="none" w:sz="0" w:space="0" w:color="auto"/>
          </w:divBdr>
        </w:div>
        <w:div w:id="860704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7</Pages>
  <Words>395</Words>
  <Characters>2254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Alexander Morgan</cp:lastModifiedBy>
  <cp:revision>2</cp:revision>
  <dcterms:created xsi:type="dcterms:W3CDTF">2020-04-26T19:53:00Z</dcterms:created>
  <dcterms:modified xsi:type="dcterms:W3CDTF">2020-04-26T21:10:00Z</dcterms:modified>
</cp:coreProperties>
</file>