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1156" w14:textId="49825F07" w:rsidR="00777DAB" w:rsidRPr="00777DAB" w:rsidRDefault="00777DAB" w:rsidP="00777DAB">
      <w:pPr>
        <w:pStyle w:val="NoSpacing"/>
        <w:jc w:val="center"/>
        <w:rPr>
          <w:b/>
          <w:bCs/>
          <w:u w:val="single"/>
        </w:rPr>
      </w:pPr>
      <w:r w:rsidRPr="00777DAB">
        <w:rPr>
          <w:b/>
          <w:bCs/>
          <w:u w:val="single"/>
        </w:rPr>
        <w:t>Methodology</w:t>
      </w:r>
    </w:p>
    <w:p w14:paraId="6F9EF2FF" w14:textId="77777777" w:rsidR="00777DAB" w:rsidRDefault="00777DAB" w:rsidP="00777DAB">
      <w:pPr>
        <w:spacing w:after="0" w:line="240" w:lineRule="auto"/>
      </w:pPr>
    </w:p>
    <w:p w14:paraId="3FDD09E9" w14:textId="3410CCA9" w:rsidR="003806A2" w:rsidRDefault="003806A2" w:rsidP="006129C0">
      <w:pPr>
        <w:spacing w:after="0" w:line="240" w:lineRule="auto"/>
        <w:jc w:val="both"/>
      </w:pPr>
      <w:r>
        <w:t>A SIR model</w:t>
      </w:r>
      <w:r w:rsidR="006129C0">
        <w:t xml:space="preserve"> without demography</w:t>
      </w:r>
      <w:r>
        <w:t xml:space="preserve"> was implemented to </w:t>
      </w:r>
      <w:r w:rsidR="00B537DD">
        <w:t>explore</w:t>
      </w:r>
      <w:r>
        <w:t xml:space="preserve"> the effects of time-limited social distancing</w:t>
      </w:r>
      <w:r w:rsidR="000261F4">
        <w:t xml:space="preserve"> measures</w:t>
      </w:r>
      <w:r w:rsidR="006129C0">
        <w:t xml:space="preserve"> </w:t>
      </w:r>
      <w:r w:rsidR="00610326">
        <w:t xml:space="preserve">(SDM) </w:t>
      </w:r>
      <w:r w:rsidR="006129C0">
        <w:t>on a hypothetical outbreak scenario</w:t>
      </w:r>
      <w:r w:rsidR="001C354D">
        <w:t xml:space="preserve"> (eqn 1.1)</w:t>
      </w:r>
      <w:r w:rsidR="000261F4">
        <w:t xml:space="preserve">.  </w:t>
      </w:r>
      <w:r w:rsidR="006129C0">
        <w:t>We assume that S, I and R compartments represent the proportion of the population that is susceptible, infect</w:t>
      </w:r>
      <w:r w:rsidR="00497CD7">
        <w:t>ious</w:t>
      </w:r>
      <w:r w:rsidR="006129C0">
        <w:t xml:space="preserve"> or recovered respectively. </w:t>
      </w:r>
      <w:r>
        <w:t xml:space="preserve"> </w:t>
      </w:r>
    </w:p>
    <w:p w14:paraId="1DD2116E" w14:textId="77777777" w:rsidR="00777DAB" w:rsidRDefault="00777DAB" w:rsidP="00777DAB">
      <w:pPr>
        <w:spacing w:after="0" w:line="240" w:lineRule="auto"/>
        <w:rPr>
          <w:b/>
          <w:u w:val="single"/>
        </w:rPr>
      </w:pPr>
    </w:p>
    <w:p w14:paraId="1EF35E03" w14:textId="77777777" w:rsidR="00B537DD" w:rsidRPr="004B6804" w:rsidRDefault="00497CD7" w:rsidP="00B537DD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=-β(t)SI</m:t>
          </m:r>
        </m:oMath>
      </m:oMathPara>
    </w:p>
    <w:p w14:paraId="796A63A4" w14:textId="77777777" w:rsidR="00B537DD" w:rsidRPr="004B6804" w:rsidRDefault="00B537DD" w:rsidP="00B537DD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14:paraId="017D8085" w14:textId="77777777" w:rsidR="00B537DD" w:rsidRPr="004B6804" w:rsidRDefault="00497CD7" w:rsidP="00B537DD">
      <w:pPr>
        <w:spacing w:after="0" w:line="240" w:lineRule="auto"/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=β(t)-µI </m:t>
          </m:r>
        </m:oMath>
      </m:oMathPara>
    </w:p>
    <w:p w14:paraId="46B81E32" w14:textId="77777777" w:rsidR="00B537DD" w:rsidRPr="004B6804" w:rsidRDefault="00B537DD" w:rsidP="00B537DD">
      <w:pPr>
        <w:spacing w:after="0" w:line="240" w:lineRule="auto"/>
        <w:jc w:val="both"/>
        <w:rPr>
          <w:rFonts w:ascii="Cambria Math" w:hAnsi="Cambria Math"/>
          <w:i/>
          <w:iCs/>
        </w:rPr>
      </w:pPr>
    </w:p>
    <w:p w14:paraId="206B40A1" w14:textId="77777777" w:rsidR="00B537DD" w:rsidRPr="004B6804" w:rsidRDefault="00497CD7" w:rsidP="00B537DD">
      <w:pPr>
        <w:spacing w:after="0" w:line="240" w:lineRule="auto"/>
        <w:jc w:val="both"/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=µI </m:t>
          </m:r>
        </m:oMath>
      </m:oMathPara>
    </w:p>
    <w:p w14:paraId="4D9B24F9" w14:textId="77777777" w:rsidR="00777DAB" w:rsidRDefault="00615947" w:rsidP="00615947">
      <w:pPr>
        <w:spacing w:after="0" w:line="240" w:lineRule="auto"/>
        <w:jc w:val="right"/>
      </w:pPr>
      <w:r>
        <w:t>eqn</w:t>
      </w:r>
      <w:r w:rsidR="001C354D">
        <w:t xml:space="preserve"> </w:t>
      </w:r>
      <w:r>
        <w:t>1.1</w:t>
      </w:r>
    </w:p>
    <w:p w14:paraId="53E63F0B" w14:textId="77777777" w:rsidR="00615947" w:rsidRDefault="00615947" w:rsidP="00777DAB">
      <w:pPr>
        <w:spacing w:after="0" w:line="240" w:lineRule="auto"/>
        <w:jc w:val="both"/>
      </w:pPr>
    </w:p>
    <w:p w14:paraId="430D79FD" w14:textId="71A8E6FD" w:rsidR="00615947" w:rsidRDefault="006129C0" w:rsidP="00777DAB">
      <w:pPr>
        <w:spacing w:after="0" w:line="240" w:lineRule="auto"/>
        <w:jc w:val="both"/>
      </w:pPr>
      <w:r>
        <w:t>Individuals in compartment S become infected</w:t>
      </w:r>
      <w:r w:rsidR="00615947">
        <w:t xml:space="preserve"> and move into the I compartment</w:t>
      </w:r>
      <w:r>
        <w:t xml:space="preserve"> </w:t>
      </w:r>
      <w:r w:rsidR="00497CD7">
        <w:t>with</w:t>
      </w:r>
      <w:r w:rsidR="00615947">
        <w:t xml:space="preserve"> the time-varying</w:t>
      </w:r>
      <w:r>
        <w:t xml:space="preserve"> rate </w:t>
      </w:r>
      <w:r w:rsidR="00615947">
        <w:rPr>
          <w:rFonts w:cstheme="minorHAnsi"/>
        </w:rPr>
        <w:t>β</w:t>
      </w:r>
      <w:r w:rsidR="00615947">
        <w:t>(t), which represent</w:t>
      </w:r>
      <w:r w:rsidR="00397FA7">
        <w:t>s</w:t>
      </w:r>
      <w:r w:rsidR="00615947">
        <w:t xml:space="preserve"> the daily per capita rate of </w:t>
      </w:r>
      <w:r w:rsidR="00497CD7">
        <w:t>transmission</w:t>
      </w:r>
      <w:r w:rsidR="00615947">
        <w:t xml:space="preserve"> under the assumption of random mixing</w:t>
      </w:r>
      <w:r w:rsidR="00497CD7">
        <w:t xml:space="preserve"> of the population</w:t>
      </w:r>
      <w:r w:rsidR="00615947">
        <w:t xml:space="preserve">. The daily per capita rate of recovery, </w:t>
      </w:r>
      <w:r w:rsidR="00615947">
        <w:rPr>
          <w:rFonts w:cstheme="minorHAnsi"/>
        </w:rPr>
        <w:t>μ</w:t>
      </w:r>
      <w:r w:rsidR="00615947">
        <w:t>, was assumed to be a function (reciprocal) of the average duration of infectiousness or the generation time</w:t>
      </w:r>
      <w:r w:rsidR="00C55989">
        <w:t>,</w:t>
      </w:r>
      <w:r w:rsidR="00615947">
        <w:t xml:space="preserve"> assuming a negligible latency period.  </w:t>
      </w:r>
    </w:p>
    <w:p w14:paraId="770DB573" w14:textId="77777777" w:rsidR="00397FA7" w:rsidRDefault="00397FA7" w:rsidP="00777DAB">
      <w:pPr>
        <w:spacing w:after="0" w:line="240" w:lineRule="auto"/>
        <w:jc w:val="both"/>
      </w:pPr>
    </w:p>
    <w:p w14:paraId="72CD9BCD" w14:textId="017511EC" w:rsidR="00497CD7" w:rsidRDefault="001C354D" w:rsidP="00497CD7">
      <w:pPr>
        <w:spacing w:after="0" w:line="240" w:lineRule="auto"/>
        <w:jc w:val="both"/>
      </w:pPr>
      <w:r>
        <w:t xml:space="preserve">Using an epidemic doubling time </w:t>
      </w:r>
      <w:r w:rsidR="009C2357">
        <w:t>(T</w:t>
      </w:r>
      <w:r w:rsidR="009C2357" w:rsidRPr="009C2357">
        <w:rPr>
          <w:vertAlign w:val="subscript"/>
        </w:rPr>
        <w:t>2</w:t>
      </w:r>
      <w:r w:rsidR="009C2357">
        <w:t xml:space="preserve">) </w:t>
      </w:r>
      <w:r>
        <w:t xml:space="preserve">of </w:t>
      </w:r>
      <w:r w:rsidR="00497CD7">
        <w:t>six</w:t>
      </w:r>
      <w:r>
        <w:t xml:space="preserve"> days and basic reproduction number (R</w:t>
      </w:r>
      <w:r w:rsidRPr="001C354D">
        <w:rPr>
          <w:vertAlign w:val="subscript"/>
        </w:rPr>
        <w:t>0</w:t>
      </w:r>
      <w:r>
        <w:t xml:space="preserve">) of </w:t>
      </w:r>
      <w:r w:rsidR="00497CD7">
        <w:t>two, the generation time (G) or average duration of infectiousness (1/</w:t>
      </w:r>
      <w:r w:rsidR="00497CD7">
        <w:rPr>
          <w:rFonts w:cstheme="minorHAnsi"/>
        </w:rPr>
        <w:t>μ</w:t>
      </w:r>
      <w:r w:rsidR="00497CD7">
        <w:t>) was calculated to be 8.62 days using eqn 1.2. The reciprocal of the generation time (</w:t>
      </w:r>
      <w:r w:rsidR="00497CD7">
        <w:rPr>
          <w:rFonts w:cstheme="minorHAnsi"/>
        </w:rPr>
        <w:t>μ</w:t>
      </w:r>
      <w:r w:rsidR="00497CD7">
        <w:t xml:space="preserve">) and a baseline R0 of 2 was used in eqn 1.3 to obtain a baseline </w:t>
      </w:r>
      <w:r w:rsidR="00497CD7">
        <w:rPr>
          <w:rFonts w:cstheme="minorHAnsi"/>
        </w:rPr>
        <w:t xml:space="preserve">β(t) and μ value of 0.231 and 0.116 respectively. </w:t>
      </w:r>
    </w:p>
    <w:p w14:paraId="26FC576D" w14:textId="77777777" w:rsidR="00497CD7" w:rsidRDefault="00497CD7" w:rsidP="00497CD7">
      <w:pPr>
        <w:spacing w:after="0" w:line="240" w:lineRule="auto"/>
      </w:pPr>
    </w:p>
    <w:p w14:paraId="39B2C9EA" w14:textId="77777777" w:rsidR="00497CD7" w:rsidRDefault="00497CD7" w:rsidP="00497CD7">
      <w:pPr>
        <w:spacing w:after="0" w:line="240" w:lineRule="auto"/>
        <w:rPr>
          <w:rFonts w:ascii="Calibri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Generation Time (G)=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ln⁡</m:t>
              </m:r>
              <m:r>
                <w:rPr>
                  <w:rFonts w:ascii="Cambria Math" w:hAnsi="Cambria Math" w:cs="Calibri"/>
                  <w:color w:val="000000"/>
                </w:rPr>
                <m:t>(2)</m:t>
              </m:r>
            </m:den>
          </m:f>
        </m:oMath>
      </m:oMathPara>
    </w:p>
    <w:p w14:paraId="08C0C5D8" w14:textId="768FA57B" w:rsidR="00497CD7" w:rsidRPr="00497CD7" w:rsidRDefault="00497CD7" w:rsidP="00497CD7">
      <w:pPr>
        <w:spacing w:after="0" w:line="240" w:lineRule="auto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eqn 1.</w:t>
      </w:r>
      <w:r>
        <w:rPr>
          <w:rFonts w:ascii="Calibri" w:hAnsi="Calibri" w:cs="Calibri"/>
          <w:color w:val="000000"/>
        </w:rPr>
        <w:t>2</w:t>
      </w:r>
    </w:p>
    <w:p w14:paraId="14262896" w14:textId="77777777" w:rsidR="001C354D" w:rsidRDefault="001C354D" w:rsidP="00777DAB">
      <w:pPr>
        <w:spacing w:after="0" w:line="240" w:lineRule="auto"/>
        <w:jc w:val="both"/>
      </w:pPr>
    </w:p>
    <w:p w14:paraId="16EFCE2C" w14:textId="6B4D9A46" w:rsidR="001C354D" w:rsidRDefault="00497CD7" w:rsidP="001C354D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</m:oMath>
      </m:oMathPara>
    </w:p>
    <w:p w14:paraId="08C532FF" w14:textId="5AD5A3D5" w:rsidR="001C354D" w:rsidRDefault="001C354D" w:rsidP="001C354D">
      <w:pPr>
        <w:spacing w:after="0" w:line="240" w:lineRule="auto"/>
        <w:jc w:val="right"/>
      </w:pPr>
      <w:r>
        <w:t>eqn 1.</w:t>
      </w:r>
      <w:r w:rsidR="00497CD7">
        <w:t>3</w:t>
      </w:r>
    </w:p>
    <w:p w14:paraId="227FF662" w14:textId="3129ADC6" w:rsidR="001C354D" w:rsidRDefault="001C354D" w:rsidP="00777DAB">
      <w:pPr>
        <w:spacing w:after="0" w:line="240" w:lineRule="auto"/>
        <w:jc w:val="both"/>
      </w:pPr>
    </w:p>
    <w:p w14:paraId="4CCF67E3" w14:textId="20F1FC46" w:rsidR="00497CD7" w:rsidRDefault="00610326" w:rsidP="00497CD7">
      <w:pPr>
        <w:spacing w:after="0" w:line="240" w:lineRule="auto"/>
        <w:jc w:val="both"/>
      </w:pPr>
      <w:r>
        <w:t xml:space="preserve">Time-limited SDMs were modelled through reductions to the </w:t>
      </w:r>
      <w:r w:rsidR="00397FA7">
        <w:rPr>
          <w:rFonts w:cstheme="minorHAnsi"/>
        </w:rPr>
        <w:t>β</w:t>
      </w:r>
      <w:r w:rsidR="00397FA7">
        <w:t xml:space="preserve">(t) </w:t>
      </w:r>
      <w:r>
        <w:t xml:space="preserve">parameter, with these interventions differing based on the temporal distribution of </w:t>
      </w:r>
      <w:r w:rsidR="00397FA7">
        <w:t xml:space="preserve">the </w:t>
      </w:r>
      <w:r w:rsidR="00397FA7">
        <w:rPr>
          <w:rFonts w:cstheme="minorHAnsi"/>
        </w:rPr>
        <w:t>β</w:t>
      </w:r>
      <w:r w:rsidR="00397FA7">
        <w:t xml:space="preserve">(t) reductions. We explored six different scenarios, each </w:t>
      </w:r>
      <w:r w:rsidR="00497CD7">
        <w:t>lasting</w:t>
      </w:r>
      <w:r w:rsidR="00397FA7">
        <w:t xml:space="preserve"> for 12 weeks (84 days) and with identical </w:t>
      </w:r>
      <w:r w:rsidR="00C55989">
        <w:t>magnitudes of</w:t>
      </w:r>
      <w:r w:rsidR="00397FA7">
        <w:t xml:space="preserve"> </w:t>
      </w:r>
      <w:r w:rsidR="00C55989">
        <w:rPr>
          <w:rFonts w:cstheme="minorHAnsi"/>
        </w:rPr>
        <w:t>β</w:t>
      </w:r>
      <w:r w:rsidR="00C55989">
        <w:t xml:space="preserve">(t) </w:t>
      </w:r>
      <w:r w:rsidR="00397FA7">
        <w:t>reductions over the 12-week period</w:t>
      </w:r>
      <w:r w:rsidR="001C354D">
        <w:t xml:space="preserve"> (T</w:t>
      </w:r>
      <w:r w:rsidR="00C55989">
        <w:t>able</w:t>
      </w:r>
      <w:r w:rsidR="001C354D">
        <w:t xml:space="preserve"> 1).</w:t>
      </w:r>
      <w:r w:rsidR="00397FA7">
        <w:t xml:space="preserve"> </w:t>
      </w:r>
      <w:r w:rsidR="003B1E06">
        <w:t>All SDM interventions were initiated at day 41 (I</w:t>
      </w:r>
      <w:r w:rsidR="00497CD7">
        <w:t>(t)</w:t>
      </w:r>
      <w:r w:rsidR="003B1E06">
        <w:t xml:space="preserve"> = 0.01). </w:t>
      </w:r>
      <w:r w:rsidR="00497CD7">
        <w:t>All models were initiated with the following initial conditions: S = 0.9999, I = 0.0001, R = 0. All simulated outbreaks were run for 365 days.</w:t>
      </w:r>
    </w:p>
    <w:p w14:paraId="221BBF5B" w14:textId="4BD145EF" w:rsidR="003B1E06" w:rsidRDefault="003B1E06" w:rsidP="00C55989">
      <w:pPr>
        <w:spacing w:line="240" w:lineRule="auto"/>
        <w:jc w:val="both"/>
      </w:pPr>
    </w:p>
    <w:p w14:paraId="1D88D0EA" w14:textId="77777777" w:rsidR="003B1E06" w:rsidRDefault="003B1E06" w:rsidP="003B1E06">
      <w:pPr>
        <w:spacing w:after="0" w:line="240" w:lineRule="auto"/>
        <w:jc w:val="both"/>
      </w:pPr>
    </w:p>
    <w:p w14:paraId="24C36618" w14:textId="77777777" w:rsidR="001C354D" w:rsidRDefault="001C354D" w:rsidP="00397FA7">
      <w:pPr>
        <w:spacing w:after="0" w:line="240" w:lineRule="auto"/>
        <w:jc w:val="both"/>
      </w:pPr>
    </w:p>
    <w:p w14:paraId="77306C53" w14:textId="77777777" w:rsidR="001C354D" w:rsidRDefault="001C354D" w:rsidP="00397FA7">
      <w:pPr>
        <w:spacing w:after="0" w:line="240" w:lineRule="auto"/>
        <w:jc w:val="both"/>
      </w:pPr>
    </w:p>
    <w:p w14:paraId="17B8A28B" w14:textId="77777777" w:rsidR="001C354D" w:rsidRDefault="001C354D" w:rsidP="00397FA7">
      <w:pPr>
        <w:spacing w:after="0" w:line="240" w:lineRule="auto"/>
        <w:jc w:val="both"/>
      </w:pPr>
    </w:p>
    <w:p w14:paraId="214061AD" w14:textId="77777777" w:rsidR="001C354D" w:rsidRDefault="001C354D" w:rsidP="00397FA7">
      <w:pPr>
        <w:spacing w:after="0" w:line="240" w:lineRule="auto"/>
        <w:jc w:val="both"/>
      </w:pPr>
    </w:p>
    <w:p w14:paraId="3DEFDFA6" w14:textId="77777777" w:rsidR="001C354D" w:rsidRDefault="001C354D" w:rsidP="00397FA7">
      <w:pPr>
        <w:spacing w:after="0" w:line="240" w:lineRule="auto"/>
        <w:jc w:val="both"/>
      </w:pPr>
    </w:p>
    <w:p w14:paraId="3663A6D1" w14:textId="77777777" w:rsidR="001C354D" w:rsidRDefault="001C354D" w:rsidP="00397FA7">
      <w:pPr>
        <w:spacing w:after="0" w:line="240" w:lineRule="auto"/>
        <w:jc w:val="both"/>
      </w:pPr>
    </w:p>
    <w:p w14:paraId="28036CA7" w14:textId="77777777" w:rsidR="001C354D" w:rsidRDefault="001C354D" w:rsidP="00397FA7">
      <w:pPr>
        <w:spacing w:after="0" w:line="240" w:lineRule="auto"/>
        <w:jc w:val="both"/>
      </w:pPr>
    </w:p>
    <w:p w14:paraId="266C1C82" w14:textId="77777777" w:rsidR="003B1E06" w:rsidRDefault="003B1E06" w:rsidP="00397FA7">
      <w:pPr>
        <w:spacing w:after="0" w:line="240" w:lineRule="auto"/>
        <w:jc w:val="both"/>
      </w:pPr>
    </w:p>
    <w:p w14:paraId="1C8E78E7" w14:textId="77777777" w:rsidR="003B1E06" w:rsidRDefault="003B1E06" w:rsidP="00397FA7">
      <w:pPr>
        <w:spacing w:after="0" w:line="240" w:lineRule="auto"/>
        <w:jc w:val="both"/>
      </w:pPr>
    </w:p>
    <w:p w14:paraId="20C0E8F2" w14:textId="77777777" w:rsidR="001C354D" w:rsidRDefault="001C354D" w:rsidP="00397FA7">
      <w:pPr>
        <w:spacing w:after="0" w:line="240" w:lineRule="auto"/>
        <w:jc w:val="both"/>
      </w:pPr>
    </w:p>
    <w:p w14:paraId="23B55A24" w14:textId="77777777" w:rsidR="001C354D" w:rsidRDefault="001C354D" w:rsidP="00397FA7">
      <w:pPr>
        <w:spacing w:after="0" w:line="240" w:lineRule="auto"/>
        <w:jc w:val="both"/>
      </w:pPr>
    </w:p>
    <w:p w14:paraId="7F4FE2D4" w14:textId="77777777" w:rsidR="00C55989" w:rsidRDefault="001C354D" w:rsidP="00C55989">
      <w:pPr>
        <w:spacing w:after="0" w:line="276" w:lineRule="auto"/>
        <w:jc w:val="both"/>
      </w:pPr>
      <w:r w:rsidRPr="00C55989">
        <w:rPr>
          <w:b/>
          <w:bCs/>
        </w:rPr>
        <w:t>T</w:t>
      </w:r>
      <w:r w:rsidR="00C55989" w:rsidRPr="00C55989">
        <w:rPr>
          <w:b/>
          <w:bCs/>
        </w:rPr>
        <w:t>able 1</w:t>
      </w:r>
      <w:r>
        <w:t xml:space="preserve"> </w:t>
      </w:r>
      <w:r w:rsidR="00C55989">
        <w:t>–</w:t>
      </w:r>
      <w:r>
        <w:t xml:space="preserve"> </w:t>
      </w:r>
      <w:r w:rsidR="00C55989">
        <w:t xml:space="preserve">Description of the six different SDM intervention scenarios. </w:t>
      </w:r>
    </w:p>
    <w:tbl>
      <w:tblPr>
        <w:tblStyle w:val="GridTable4"/>
        <w:tblW w:w="7933" w:type="dxa"/>
        <w:tblLook w:val="04A0" w:firstRow="1" w:lastRow="0" w:firstColumn="1" w:lastColumn="0" w:noHBand="0" w:noVBand="1"/>
      </w:tblPr>
      <w:tblGrid>
        <w:gridCol w:w="1110"/>
        <w:gridCol w:w="2854"/>
        <w:gridCol w:w="3969"/>
      </w:tblGrid>
      <w:tr w:rsidR="00C27E8C" w14:paraId="53D535F6" w14:textId="77777777" w:rsidTr="00804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6BDD15B" w14:textId="77777777" w:rsidR="001C354D" w:rsidRDefault="001C354D" w:rsidP="001C354D">
            <w:pPr>
              <w:spacing w:line="276" w:lineRule="auto"/>
              <w:jc w:val="both"/>
            </w:pPr>
            <w:r>
              <w:t>Scenario</w:t>
            </w:r>
          </w:p>
        </w:tc>
        <w:tc>
          <w:tcPr>
            <w:tcW w:w="2854" w:type="dxa"/>
          </w:tcPr>
          <w:p w14:paraId="2B157118" w14:textId="77777777" w:rsidR="001C354D" w:rsidRDefault="001C354D" w:rsidP="001C354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70A061CF" w14:textId="77777777" w:rsidR="001C354D" w:rsidRDefault="001C354D" w:rsidP="001C354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Beta over 12 Weeks</w:t>
            </w:r>
          </w:p>
        </w:tc>
      </w:tr>
      <w:tr w:rsidR="00C27E8C" w14:paraId="3E879EBD" w14:textId="77777777" w:rsidTr="008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358410A2" w14:textId="77777777" w:rsidR="001C354D" w:rsidRDefault="001C354D" w:rsidP="001C354D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2854" w:type="dxa"/>
            <w:shd w:val="clear" w:color="auto" w:fill="auto"/>
          </w:tcPr>
          <w:p w14:paraId="267EF0C4" w14:textId="77777777" w:rsidR="001C354D" w:rsidRDefault="001C354D" w:rsidP="001C35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SDMs.</w:t>
            </w:r>
          </w:p>
        </w:tc>
        <w:tc>
          <w:tcPr>
            <w:tcW w:w="3969" w:type="dxa"/>
            <w:shd w:val="clear" w:color="auto" w:fill="auto"/>
          </w:tcPr>
          <w:p w14:paraId="6EE767D7" w14:textId="77777777" w:rsidR="001C354D" w:rsidRDefault="00C27E8C" w:rsidP="00C27E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7A4E14" wp14:editId="781221EA">
                  <wp:extent cx="2360930" cy="103816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577" r="2280" b="9718"/>
                          <a:stretch/>
                        </pic:blipFill>
                        <pic:spPr bwMode="auto">
                          <a:xfrm>
                            <a:off x="0" y="0"/>
                            <a:ext cx="2373722" cy="104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F4" w14:paraId="14FEBA5F" w14:textId="77777777" w:rsidTr="0080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73E18768" w14:textId="77777777" w:rsidR="001C354D" w:rsidRDefault="001C354D" w:rsidP="001C354D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2854" w:type="dxa"/>
            <w:shd w:val="clear" w:color="auto" w:fill="auto"/>
          </w:tcPr>
          <w:p w14:paraId="2E149D50" w14:textId="77777777" w:rsidR="00B1373C" w:rsidRDefault="001C354D" w:rsidP="001C35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0.625*</w:t>
            </w:r>
            <w:r w:rsidRPr="001C354D">
              <w:rPr>
                <w:rFonts w:cstheme="minorHAnsi"/>
              </w:rPr>
              <w:t>β</w:t>
            </w:r>
            <w:r>
              <w:t>(t) reduction</w:t>
            </w:r>
            <w:r w:rsidR="00B1373C">
              <w:t>.</w:t>
            </w:r>
          </w:p>
          <w:p w14:paraId="67E3DBB4" w14:textId="77777777" w:rsidR="001C354D" w:rsidRDefault="001C354D" w:rsidP="001C35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B1373C">
              <w:t xml:space="preserve">Min </w:t>
            </w:r>
            <w:r w:rsidRPr="001C354D">
              <w:rPr>
                <w:rFonts w:cstheme="minorHAnsi"/>
              </w:rPr>
              <w:t>β</w:t>
            </w:r>
            <w:r>
              <w:t xml:space="preserve">(t) = </w:t>
            </w:r>
            <w:r w:rsidR="00B1373C">
              <w:t>0.144</w:t>
            </w:r>
            <w:r>
              <w:t>)</w:t>
            </w:r>
          </w:p>
        </w:tc>
        <w:tc>
          <w:tcPr>
            <w:tcW w:w="3969" w:type="dxa"/>
            <w:shd w:val="clear" w:color="auto" w:fill="auto"/>
          </w:tcPr>
          <w:p w14:paraId="2B7079D5" w14:textId="77777777" w:rsidR="001C354D" w:rsidRDefault="00C27E8C" w:rsidP="00C27E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AC073D" wp14:editId="649EAB77">
                  <wp:extent cx="2362200" cy="1028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64" r="2400" b="10695"/>
                          <a:stretch/>
                        </pic:blipFill>
                        <pic:spPr bwMode="auto">
                          <a:xfrm>
                            <a:off x="0" y="0"/>
                            <a:ext cx="2387637" cy="1039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E8C" w14:paraId="38CC00A9" w14:textId="77777777" w:rsidTr="008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0B4087C3" w14:textId="77777777" w:rsidR="001C354D" w:rsidRDefault="001C354D" w:rsidP="001C354D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2854" w:type="dxa"/>
            <w:shd w:val="clear" w:color="auto" w:fill="auto"/>
          </w:tcPr>
          <w:p w14:paraId="45A4EEA0" w14:textId="77777777" w:rsidR="00B1373C" w:rsidRDefault="001C354D" w:rsidP="001C35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0.25*</w:t>
            </w:r>
            <w:r w:rsidRPr="001C354D">
              <w:rPr>
                <w:rFonts w:cstheme="minorHAnsi"/>
              </w:rPr>
              <w:t>β</w:t>
            </w:r>
            <w:r>
              <w:t xml:space="preserve">(t) reduction followed by a linear increase back to baseline </w:t>
            </w:r>
            <w:r w:rsidRPr="001C354D">
              <w:rPr>
                <w:rFonts w:cstheme="minorHAnsi"/>
              </w:rPr>
              <w:t>β</w:t>
            </w:r>
            <w:r>
              <w:t>(t)</w:t>
            </w:r>
            <w:r w:rsidR="00B1373C">
              <w:t>.</w:t>
            </w:r>
          </w:p>
          <w:p w14:paraId="63633F19" w14:textId="77777777" w:rsidR="001C354D" w:rsidRDefault="00B1373C" w:rsidP="001C35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71788D27" w14:textId="77777777" w:rsidR="001C354D" w:rsidRDefault="00C27E8C" w:rsidP="00C27E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24DB2F" wp14:editId="3EF96394">
                  <wp:extent cx="2361102" cy="104775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560" r="2497" b="9091"/>
                          <a:stretch/>
                        </pic:blipFill>
                        <pic:spPr bwMode="auto">
                          <a:xfrm>
                            <a:off x="0" y="0"/>
                            <a:ext cx="2398893" cy="106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F4" w14:paraId="2B8785D2" w14:textId="77777777" w:rsidTr="0080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05423807" w14:textId="77777777" w:rsidR="001C354D" w:rsidRDefault="001C354D" w:rsidP="001C354D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2854" w:type="dxa"/>
            <w:shd w:val="clear" w:color="auto" w:fill="auto"/>
          </w:tcPr>
          <w:p w14:paraId="586C15D8" w14:textId="77777777" w:rsidR="008049F4" w:rsidRDefault="008049F4" w:rsidP="008049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decrease to 0.25*</w:t>
            </w:r>
            <w:r w:rsidRPr="001C354D">
              <w:rPr>
                <w:rFonts w:cstheme="minorHAnsi"/>
              </w:rPr>
              <w:t>β</w:t>
            </w:r>
            <w:r>
              <w:t xml:space="preserve">(t) followed by an immediate return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458EED3D" w14:textId="77777777" w:rsidR="001C354D" w:rsidRDefault="008049F4" w:rsidP="008049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17301AF9" w14:textId="77777777" w:rsidR="001C354D" w:rsidRDefault="00C27E8C" w:rsidP="00C27E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6E05E0" wp14:editId="17E42570">
                  <wp:extent cx="2323332" cy="100012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11" r="2304" b="12060"/>
                          <a:stretch/>
                        </pic:blipFill>
                        <pic:spPr bwMode="auto">
                          <a:xfrm>
                            <a:off x="0" y="0"/>
                            <a:ext cx="2351746" cy="101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E8C" w14:paraId="70810F6E" w14:textId="77777777" w:rsidTr="00804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09258815" w14:textId="77777777" w:rsidR="001C354D" w:rsidRDefault="001C354D" w:rsidP="001C354D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2854" w:type="dxa"/>
            <w:shd w:val="clear" w:color="auto" w:fill="auto"/>
          </w:tcPr>
          <w:p w14:paraId="7FE24958" w14:textId="77777777" w:rsidR="008049F4" w:rsidRDefault="008049F4" w:rsidP="008049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decrease to 0.25*</w:t>
            </w:r>
            <w:r w:rsidRPr="001C354D">
              <w:rPr>
                <w:rFonts w:cstheme="minorHAnsi"/>
              </w:rPr>
              <w:t>β</w:t>
            </w:r>
            <w:r>
              <w:t xml:space="preserve">(t) at week 6, followed by a linear increase back to baseline </w:t>
            </w:r>
            <w:r w:rsidRPr="001C354D">
              <w:rPr>
                <w:rFonts w:cstheme="minorHAnsi"/>
              </w:rPr>
              <w:t>β</w:t>
            </w:r>
            <w:r>
              <w:t>(t).</w:t>
            </w:r>
          </w:p>
          <w:p w14:paraId="2724AC42" w14:textId="77777777" w:rsidR="001C354D" w:rsidRDefault="008049F4" w:rsidP="008049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44F11A0C" w14:textId="77777777" w:rsidR="001C354D" w:rsidRDefault="00C27E8C" w:rsidP="00C27E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7D02F8" wp14:editId="24E7BBCD">
                  <wp:extent cx="2332850" cy="1019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635" r="2304" b="10385"/>
                          <a:stretch/>
                        </pic:blipFill>
                        <pic:spPr bwMode="auto">
                          <a:xfrm>
                            <a:off x="0" y="0"/>
                            <a:ext cx="2357652" cy="103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F4" w14:paraId="24DE8C5F" w14:textId="77777777" w:rsidTr="00804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auto"/>
          </w:tcPr>
          <w:p w14:paraId="2239DD55" w14:textId="77777777" w:rsidR="001C354D" w:rsidRDefault="001C354D" w:rsidP="001C354D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2854" w:type="dxa"/>
            <w:shd w:val="clear" w:color="auto" w:fill="auto"/>
          </w:tcPr>
          <w:p w14:paraId="20ECCEC9" w14:textId="77777777" w:rsidR="00C55989" w:rsidRDefault="001C354D" w:rsidP="003B1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“pulsing” SDM with 0.25*</w:t>
            </w:r>
            <w:r w:rsidRPr="001C354D">
              <w:rPr>
                <w:rFonts w:cstheme="minorHAnsi"/>
              </w:rPr>
              <w:t>β</w:t>
            </w:r>
            <w:r>
              <w:t xml:space="preserve">(t) reductions between weeks 1-3, 5-7 and 9-11. </w:t>
            </w:r>
          </w:p>
          <w:p w14:paraId="37C5C4BE" w14:textId="77777777" w:rsidR="001C354D" w:rsidRDefault="00B1373C" w:rsidP="003B1E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(Min </w:t>
            </w:r>
            <w:r w:rsidRPr="001C354D">
              <w:rPr>
                <w:rFonts w:cstheme="minorHAnsi"/>
              </w:rPr>
              <w:t>β</w:t>
            </w:r>
            <w:r>
              <w:t>(t) = 0.058)</w:t>
            </w:r>
          </w:p>
        </w:tc>
        <w:tc>
          <w:tcPr>
            <w:tcW w:w="3969" w:type="dxa"/>
            <w:shd w:val="clear" w:color="auto" w:fill="auto"/>
          </w:tcPr>
          <w:p w14:paraId="3919910E" w14:textId="77777777" w:rsidR="001C354D" w:rsidRDefault="00C27E8C" w:rsidP="00C27E8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1C5F2E" wp14:editId="007C56A5">
                  <wp:extent cx="2332465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16" r="2646" b="11519"/>
                          <a:stretch/>
                        </pic:blipFill>
                        <pic:spPr bwMode="auto">
                          <a:xfrm>
                            <a:off x="0" y="0"/>
                            <a:ext cx="2358298" cy="1020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BDA87" w14:textId="77777777" w:rsidR="00397FA7" w:rsidRDefault="00397FA7" w:rsidP="00777DAB">
      <w:pPr>
        <w:spacing w:after="0" w:line="240" w:lineRule="auto"/>
        <w:jc w:val="both"/>
      </w:pPr>
    </w:p>
    <w:p w14:paraId="29BB217F" w14:textId="18455119" w:rsidR="00C55989" w:rsidRDefault="003B1E06" w:rsidP="003B1E06">
      <w:pPr>
        <w:spacing w:after="0" w:line="240" w:lineRule="auto"/>
        <w:jc w:val="both"/>
      </w:pPr>
      <w:r>
        <w:t>Three summary statistics were used to explore the efficacy of each SDM intervention: 1) Total fraction of infected individuals</w:t>
      </w:r>
      <w:r w:rsidR="00497CD7">
        <w:t xml:space="preserve"> (i.e. outbreak size)</w:t>
      </w:r>
      <w:r>
        <w:t>, timing of the epidemic peak and the fraction of infected individuals at the epidemic peak (</w:t>
      </w:r>
      <w:r w:rsidR="00497CD7">
        <w:t xml:space="preserve">peak </w:t>
      </w:r>
      <w:r>
        <w:t xml:space="preserve">incidence). </w:t>
      </w:r>
    </w:p>
    <w:p w14:paraId="0B00BE50" w14:textId="77777777" w:rsidR="00C55989" w:rsidRDefault="00C55989" w:rsidP="003B1E06">
      <w:pPr>
        <w:spacing w:after="0" w:line="240" w:lineRule="auto"/>
        <w:jc w:val="both"/>
      </w:pPr>
    </w:p>
    <w:p w14:paraId="3691A6E1" w14:textId="587C75DC" w:rsidR="003B1E06" w:rsidRDefault="003B1E06" w:rsidP="003B1E06">
      <w:pPr>
        <w:spacing w:after="0" w:line="240" w:lineRule="auto"/>
        <w:jc w:val="both"/>
      </w:pPr>
      <w:r>
        <w:t>All model simulations were carried out using</w:t>
      </w:r>
      <w:bookmarkStart w:id="0" w:name="_GoBack"/>
      <w:bookmarkEnd w:id="0"/>
      <w:r>
        <w:t xml:space="preserve"> R </w:t>
      </w:r>
      <w:r w:rsidR="00C55989">
        <w:t>(v3.6.2) and</w:t>
      </w:r>
      <w:r>
        <w:t xml:space="preserve"> C++. The “desolve” package was used for all R based simulations</w:t>
      </w:r>
      <w:r w:rsidR="00C55989">
        <w:t>.</w:t>
      </w:r>
    </w:p>
    <w:p w14:paraId="0CBBD8D6" w14:textId="77777777" w:rsidR="00777DAB" w:rsidRPr="00777DAB" w:rsidRDefault="00777DAB" w:rsidP="00777DAB">
      <w:pPr>
        <w:pStyle w:val="NoSpacing"/>
      </w:pPr>
    </w:p>
    <w:sectPr w:rsidR="00777DAB" w:rsidRPr="0077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5A6"/>
    <w:multiLevelType w:val="hybridMultilevel"/>
    <w:tmpl w:val="96D2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BF0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7A17"/>
    <w:multiLevelType w:val="hybridMultilevel"/>
    <w:tmpl w:val="1A2C5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A29C5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3B3E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54EB3"/>
    <w:multiLevelType w:val="hybridMultilevel"/>
    <w:tmpl w:val="BA90B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62B55"/>
    <w:multiLevelType w:val="hybridMultilevel"/>
    <w:tmpl w:val="CD723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AB"/>
    <w:rsid w:val="000261F4"/>
    <w:rsid w:val="001C354D"/>
    <w:rsid w:val="002F2DE8"/>
    <w:rsid w:val="003806A2"/>
    <w:rsid w:val="00397FA7"/>
    <w:rsid w:val="003B1E06"/>
    <w:rsid w:val="00402FCB"/>
    <w:rsid w:val="00497CD7"/>
    <w:rsid w:val="005A6DBB"/>
    <w:rsid w:val="00610326"/>
    <w:rsid w:val="006129C0"/>
    <w:rsid w:val="00615947"/>
    <w:rsid w:val="00777DAB"/>
    <w:rsid w:val="008049F4"/>
    <w:rsid w:val="009C2357"/>
    <w:rsid w:val="00B1373C"/>
    <w:rsid w:val="00B2572E"/>
    <w:rsid w:val="00B537DD"/>
    <w:rsid w:val="00C27E8C"/>
    <w:rsid w:val="00C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FDBD"/>
  <w15:chartTrackingRefBased/>
  <w15:docId w15:val="{47EEE395-DF16-4FCB-B256-159ECF3D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D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326"/>
    <w:pPr>
      <w:ind w:left="720"/>
      <w:contextualSpacing/>
    </w:pPr>
  </w:style>
  <w:style w:type="table" w:styleId="TableGrid">
    <w:name w:val="Table Grid"/>
    <w:basedOn w:val="TableNormal"/>
    <w:uiPriority w:val="39"/>
    <w:rsid w:val="001C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C35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E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CD35-0480-43B9-A572-D30E974D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6</cp:revision>
  <dcterms:created xsi:type="dcterms:W3CDTF">2020-02-29T18:00:00Z</dcterms:created>
  <dcterms:modified xsi:type="dcterms:W3CDTF">2020-03-05T19:57:00Z</dcterms:modified>
</cp:coreProperties>
</file>