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EEE6D" w14:textId="51E28CF0" w:rsidR="00EC5D14" w:rsidRPr="00652257" w:rsidRDefault="00EC5D14" w:rsidP="00EC5D14">
      <w:pPr>
        <w:pStyle w:val="NoSpacing"/>
        <w:rPr>
          <w:b/>
          <w:bCs/>
          <w:u w:val="single"/>
        </w:rPr>
      </w:pPr>
      <w:r w:rsidRPr="00652257">
        <w:rPr>
          <w:b/>
          <w:bCs/>
          <w:u w:val="single"/>
        </w:rPr>
        <w:t xml:space="preserve">Population Structure and </w:t>
      </w:r>
      <w:r w:rsidR="00652257" w:rsidRPr="00652257">
        <w:rPr>
          <w:b/>
          <w:bCs/>
          <w:u w:val="single"/>
        </w:rPr>
        <w:t>COVID-19 Burden</w:t>
      </w:r>
    </w:p>
    <w:p w14:paraId="7B45B3FE" w14:textId="3C170B30" w:rsidR="00652257" w:rsidRDefault="00652257" w:rsidP="00EC5D14">
      <w:pPr>
        <w:pStyle w:val="NoSpacing"/>
      </w:pPr>
    </w:p>
    <w:p w14:paraId="5B150A46" w14:textId="5C088E03" w:rsidR="00652257" w:rsidRDefault="00652257" w:rsidP="00AA6AD6">
      <w:pPr>
        <w:pStyle w:val="NoSpacing"/>
        <w:jc w:val="both"/>
      </w:pPr>
      <w:r>
        <w:t xml:space="preserve">The effect of the enhanced shielding strategy was assessed in four population structures as part of a model sensitivity analysis. This included the baseline 20-20-60 model, 2-2-96 model, 8-8-84 model and a 14-14-72 model. With the numbers representing the percentage population structure </w:t>
      </w:r>
      <w:r w:rsidR="00806545">
        <w:t>attributable</w:t>
      </w:r>
      <w:r>
        <w:t xml:space="preserve"> to the </w:t>
      </w:r>
      <w:r w:rsidR="00806545">
        <w:t xml:space="preserve">vulnerable, </w:t>
      </w:r>
      <w:proofErr w:type="spellStart"/>
      <w:r w:rsidR="00806545">
        <w:t>shielders</w:t>
      </w:r>
      <w:proofErr w:type="spellEnd"/>
      <w:r w:rsidR="00806545">
        <w:t xml:space="preserve"> and general </w:t>
      </w:r>
      <w:proofErr w:type="gramStart"/>
      <w:r w:rsidR="00806545">
        <w:t>groups</w:t>
      </w:r>
      <w:proofErr w:type="gramEnd"/>
      <w:r w:rsidR="00806545">
        <w:t xml:space="preserve"> respectively. </w:t>
      </w:r>
    </w:p>
    <w:p w14:paraId="4F3CFA61" w14:textId="715E4DA7" w:rsidR="00806545" w:rsidRDefault="00806545" w:rsidP="00EC5D14">
      <w:pPr>
        <w:pStyle w:val="NoSpacing"/>
      </w:pPr>
    </w:p>
    <w:p w14:paraId="49D5E785" w14:textId="2C2EAF54" w:rsidR="00806545" w:rsidRDefault="00806545" w:rsidP="00806545">
      <w:pPr>
        <w:pStyle w:val="NoSpacing"/>
        <w:numPr>
          <w:ilvl w:val="0"/>
          <w:numId w:val="1"/>
        </w:numPr>
      </w:pPr>
      <w:r>
        <w:t xml:space="preserve">Insert section on Sam’s </w:t>
      </w:r>
      <w:r w:rsidR="00AA6AD6">
        <w:t>Lorenz</w:t>
      </w:r>
      <w:r>
        <w:t xml:space="preserve"> curves and how we identified attributable proportion to each sub-population</w:t>
      </w:r>
    </w:p>
    <w:p w14:paraId="1083A125" w14:textId="544E8C43" w:rsidR="00EC5D14" w:rsidRDefault="00EC5D14" w:rsidP="00EC5D14">
      <w:pPr>
        <w:pStyle w:val="NoSpacing"/>
      </w:pPr>
    </w:p>
    <w:p w14:paraId="6467C4BF" w14:textId="218244C8" w:rsidR="00806545" w:rsidRDefault="00806545" w:rsidP="00AA6AD6">
      <w:pPr>
        <w:pStyle w:val="NoSpacing"/>
        <w:jc w:val="both"/>
      </w:pPr>
      <w:r>
        <w:t xml:space="preserve">The relative risk of severe disease was calculated as a ratio of the </w:t>
      </w:r>
      <w:r w:rsidR="00AA6AD6">
        <w:t>risk of severe disease in the vulnerable population to the risk of severe disease in the remainder of the population (</w:t>
      </w:r>
      <w:proofErr w:type="spellStart"/>
      <w:r w:rsidR="00AA6AD6">
        <w:t>shielders</w:t>
      </w:r>
      <w:proofErr w:type="spellEnd"/>
      <w:r w:rsidR="00AA6AD6">
        <w:t xml:space="preserve"> and general population). Model output was used to calculate the cumulative incidence with regards to 365 days after the start of lockdown, in order to assess the impact of each </w:t>
      </w:r>
      <w:r w:rsidR="00B70F83">
        <w:t xml:space="preserve">considered </w:t>
      </w:r>
      <w:r w:rsidR="00AA6AD6">
        <w:t xml:space="preserve">population structure on the efficacy of the enhanced shielding strategy. The proportion of the severe disease burden attributable to each sub-population was calculated using the relative cumulative incidence in each sub-population, scaled by the proportion of severe disease risk attributable to each sub-population. </w:t>
      </w:r>
    </w:p>
    <w:p w14:paraId="31ACFC0F" w14:textId="77777777" w:rsidR="00806545" w:rsidRDefault="00806545" w:rsidP="00EC5D14">
      <w:pPr>
        <w:pStyle w:val="NoSpacing"/>
      </w:pPr>
    </w:p>
    <w:p w14:paraId="695061FD" w14:textId="357BC540" w:rsidR="003A301B" w:rsidRDefault="003A301B" w:rsidP="00AA6AD6">
      <w:pPr>
        <w:pStyle w:val="NoSpacing"/>
      </w:pPr>
      <w:r>
        <w:t>Table 1</w:t>
      </w:r>
      <w:r w:rsidR="00AA6AD6">
        <w:t xml:space="preserve"> -</w:t>
      </w:r>
      <w:r>
        <w:t xml:space="preserve"> Comparison of the estimated distribution of COVID-19 burden for the 20-20-60</w:t>
      </w:r>
      <w:r w:rsidR="00EC5D14">
        <w:t xml:space="preserve">, 2-2-96, 8-8-84 and 14-14-72 population structure model </w:t>
      </w:r>
      <w:r>
        <w:t>scenarios</w:t>
      </w:r>
    </w:p>
    <w:tbl>
      <w:tblPr>
        <w:tblStyle w:val="GridTable4"/>
        <w:tblW w:w="9488" w:type="dxa"/>
        <w:tblLook w:val="04A0" w:firstRow="1" w:lastRow="0" w:firstColumn="1" w:lastColumn="0" w:noHBand="0" w:noVBand="1"/>
      </w:tblPr>
      <w:tblGrid>
        <w:gridCol w:w="1097"/>
        <w:gridCol w:w="1225"/>
        <w:gridCol w:w="1217"/>
        <w:gridCol w:w="1957"/>
        <w:gridCol w:w="1206"/>
        <w:gridCol w:w="1334"/>
        <w:gridCol w:w="1452"/>
      </w:tblGrid>
      <w:tr w:rsidR="00205D30" w:rsidRPr="00205D30" w14:paraId="6C03C64F" w14:textId="77777777" w:rsidTr="00652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Align w:val="center"/>
          </w:tcPr>
          <w:p w14:paraId="4BCC2517" w14:textId="35BEEC35" w:rsidR="00AB6617" w:rsidRPr="00205D30" w:rsidRDefault="00EC5D14" w:rsidP="00EC5D14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Pr="00205D30">
              <w:rPr>
                <w:rFonts w:cstheme="minorHAnsi"/>
              </w:rPr>
              <w:t>odel</w:t>
            </w:r>
          </w:p>
        </w:tc>
        <w:tc>
          <w:tcPr>
            <w:tcW w:w="1225" w:type="dxa"/>
            <w:vAlign w:val="center"/>
            <w:hideMark/>
          </w:tcPr>
          <w:p w14:paraId="71B7B8B2" w14:textId="77777777" w:rsidR="00AB6617" w:rsidRPr="00205D30" w:rsidRDefault="00AB6617" w:rsidP="00EC5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Sub-population</w:t>
            </w:r>
          </w:p>
        </w:tc>
        <w:tc>
          <w:tcPr>
            <w:tcW w:w="1217" w:type="dxa"/>
            <w:vAlign w:val="center"/>
            <w:hideMark/>
          </w:tcPr>
          <w:p w14:paraId="30358099" w14:textId="400D0F4E" w:rsidR="00AB6617" w:rsidRPr="00205D30" w:rsidRDefault="00EC5D14" w:rsidP="00EC5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Proportion of Population</w:t>
            </w:r>
          </w:p>
        </w:tc>
        <w:tc>
          <w:tcPr>
            <w:tcW w:w="1957" w:type="dxa"/>
            <w:vAlign w:val="center"/>
          </w:tcPr>
          <w:p w14:paraId="194A8136" w14:textId="291601F2" w:rsidR="00AB6617" w:rsidRPr="00205D30" w:rsidRDefault="00EC5D14" w:rsidP="00EC5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Proportion of severe disease risk attributable to</w:t>
            </w:r>
            <w:r w:rsidR="00AA6AD6">
              <w:rPr>
                <w:rFonts w:cstheme="minorHAnsi"/>
              </w:rPr>
              <w:t xml:space="preserve"> the</w:t>
            </w:r>
            <w:r>
              <w:rPr>
                <w:rFonts w:cstheme="minorHAnsi"/>
              </w:rPr>
              <w:t xml:space="preserve"> sub-population</w:t>
            </w:r>
          </w:p>
        </w:tc>
        <w:tc>
          <w:tcPr>
            <w:tcW w:w="1206" w:type="dxa"/>
            <w:vAlign w:val="center"/>
            <w:hideMark/>
          </w:tcPr>
          <w:p w14:paraId="0F9331D8" w14:textId="0189A9FA" w:rsidR="00AB6617" w:rsidRPr="00205D30" w:rsidRDefault="00AB6617" w:rsidP="00EC5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Relative risk of severe disease</w:t>
            </w:r>
          </w:p>
        </w:tc>
        <w:tc>
          <w:tcPr>
            <w:tcW w:w="1334" w:type="dxa"/>
            <w:vAlign w:val="center"/>
            <w:hideMark/>
          </w:tcPr>
          <w:p w14:paraId="1CEBF128" w14:textId="4E53079C" w:rsidR="00AB6617" w:rsidRPr="00205D30" w:rsidRDefault="00AB6617" w:rsidP="00EC5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205D30">
              <w:rPr>
                <w:rFonts w:cstheme="minorHAnsi"/>
              </w:rPr>
              <w:t>Cumulative  incidence</w:t>
            </w:r>
            <w:proofErr w:type="gramEnd"/>
            <w:r w:rsidRPr="00205D30">
              <w:rPr>
                <w:rFonts w:cstheme="minorHAnsi"/>
              </w:rPr>
              <w:t>*</w:t>
            </w:r>
          </w:p>
        </w:tc>
        <w:tc>
          <w:tcPr>
            <w:tcW w:w="1452" w:type="dxa"/>
            <w:vAlign w:val="center"/>
            <w:hideMark/>
          </w:tcPr>
          <w:p w14:paraId="228F3C29" w14:textId="77777777" w:rsidR="00AB6617" w:rsidRPr="00205D30" w:rsidRDefault="00AB6617" w:rsidP="00EC5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Proportion of severe disease burden*</w:t>
            </w:r>
          </w:p>
        </w:tc>
      </w:tr>
      <w:tr w:rsidR="00205D30" w:rsidRPr="00205D30" w14:paraId="39C56905" w14:textId="77777777" w:rsidTr="003C1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14:paraId="75851F02" w14:textId="186D62E6" w:rsidR="00652257" w:rsidRPr="00205D30" w:rsidRDefault="00652257" w:rsidP="00652257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20-20-60 model</w:t>
            </w:r>
          </w:p>
        </w:tc>
        <w:tc>
          <w:tcPr>
            <w:tcW w:w="1225" w:type="dxa"/>
            <w:vAlign w:val="center"/>
            <w:hideMark/>
          </w:tcPr>
          <w:p w14:paraId="0F03752F" w14:textId="1736B9EB" w:rsidR="00AB6617" w:rsidRPr="00205D30" w:rsidRDefault="00AB6617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v</w:t>
            </w:r>
          </w:p>
        </w:tc>
        <w:tc>
          <w:tcPr>
            <w:tcW w:w="1217" w:type="dxa"/>
            <w:vAlign w:val="center"/>
            <w:hideMark/>
          </w:tcPr>
          <w:p w14:paraId="12B33D74" w14:textId="77777777" w:rsidR="00AB6617" w:rsidRPr="00205D30" w:rsidRDefault="00AB6617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0.20</w:t>
            </w:r>
          </w:p>
        </w:tc>
        <w:tc>
          <w:tcPr>
            <w:tcW w:w="1957" w:type="dxa"/>
            <w:vAlign w:val="center"/>
          </w:tcPr>
          <w:p w14:paraId="2728739B" w14:textId="06DA1E6B" w:rsidR="00AB6617" w:rsidRPr="00205D30" w:rsidRDefault="00EC5D14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0.80</w:t>
            </w:r>
          </w:p>
        </w:tc>
        <w:tc>
          <w:tcPr>
            <w:tcW w:w="1206" w:type="dxa"/>
            <w:vAlign w:val="center"/>
            <w:hideMark/>
          </w:tcPr>
          <w:p w14:paraId="01495985" w14:textId="5A4BC098" w:rsidR="00AB6617" w:rsidRPr="00205D30" w:rsidRDefault="00AB6617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16</w:t>
            </w:r>
          </w:p>
        </w:tc>
        <w:tc>
          <w:tcPr>
            <w:tcW w:w="1334" w:type="dxa"/>
            <w:vAlign w:val="center"/>
            <w:hideMark/>
          </w:tcPr>
          <w:p w14:paraId="75FBF6A4" w14:textId="1731900C" w:rsidR="00AB6617" w:rsidRPr="00205D30" w:rsidRDefault="00AB6617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0.</w:t>
            </w:r>
            <w:r w:rsidR="003C1BCE">
              <w:rPr>
                <w:rFonts w:cstheme="minorHAnsi"/>
              </w:rPr>
              <w:t>186</w:t>
            </w:r>
          </w:p>
        </w:tc>
        <w:tc>
          <w:tcPr>
            <w:tcW w:w="1452" w:type="dxa"/>
            <w:vAlign w:val="center"/>
          </w:tcPr>
          <w:p w14:paraId="5E31DBAD" w14:textId="5B43A838" w:rsidR="00AB6617" w:rsidRPr="00205D30" w:rsidRDefault="003C1BCE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0.554</w:t>
            </w:r>
          </w:p>
        </w:tc>
      </w:tr>
      <w:tr w:rsidR="00205D30" w:rsidRPr="00205D30" w14:paraId="2A5DCB01" w14:textId="77777777" w:rsidTr="003C1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55AB13E" w14:textId="77777777" w:rsidR="00AB6617" w:rsidRPr="00205D30" w:rsidRDefault="00AB6617" w:rsidP="00EC5D1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225" w:type="dxa"/>
            <w:vAlign w:val="center"/>
            <w:hideMark/>
          </w:tcPr>
          <w:p w14:paraId="634E7BDA" w14:textId="7EBCA700" w:rsidR="00AB6617" w:rsidRPr="00205D30" w:rsidRDefault="00AB6617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s + g</w:t>
            </w:r>
          </w:p>
        </w:tc>
        <w:tc>
          <w:tcPr>
            <w:tcW w:w="1217" w:type="dxa"/>
            <w:vAlign w:val="center"/>
            <w:hideMark/>
          </w:tcPr>
          <w:p w14:paraId="54F23C5A" w14:textId="77777777" w:rsidR="00AB6617" w:rsidRPr="00205D30" w:rsidRDefault="00AB6617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0.80</w:t>
            </w:r>
          </w:p>
        </w:tc>
        <w:tc>
          <w:tcPr>
            <w:tcW w:w="1957" w:type="dxa"/>
            <w:vAlign w:val="center"/>
          </w:tcPr>
          <w:p w14:paraId="3676A487" w14:textId="1C65C242" w:rsidR="00AB6617" w:rsidRPr="00205D30" w:rsidRDefault="00EC5D14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0.20</w:t>
            </w:r>
          </w:p>
        </w:tc>
        <w:tc>
          <w:tcPr>
            <w:tcW w:w="1206" w:type="dxa"/>
            <w:vAlign w:val="center"/>
            <w:hideMark/>
          </w:tcPr>
          <w:p w14:paraId="6C022095" w14:textId="0BB0FC39" w:rsidR="00AB6617" w:rsidRPr="00205D30" w:rsidRDefault="00AB6617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1</w:t>
            </w:r>
          </w:p>
        </w:tc>
        <w:tc>
          <w:tcPr>
            <w:tcW w:w="1334" w:type="dxa"/>
            <w:vAlign w:val="center"/>
            <w:hideMark/>
          </w:tcPr>
          <w:p w14:paraId="28A8F6CE" w14:textId="78D2E9D6" w:rsidR="00AB6617" w:rsidRPr="00205D30" w:rsidRDefault="00AB6617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0.</w:t>
            </w:r>
            <w:r w:rsidR="003C1BCE">
              <w:rPr>
                <w:rFonts w:cstheme="minorHAnsi"/>
              </w:rPr>
              <w:t>600</w:t>
            </w:r>
          </w:p>
        </w:tc>
        <w:tc>
          <w:tcPr>
            <w:tcW w:w="1452" w:type="dxa"/>
            <w:vAlign w:val="center"/>
          </w:tcPr>
          <w:p w14:paraId="75110E48" w14:textId="6845DE4B" w:rsidR="00AB6617" w:rsidRPr="00205D30" w:rsidRDefault="003C1BCE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0.446</w:t>
            </w:r>
          </w:p>
        </w:tc>
      </w:tr>
      <w:tr w:rsidR="00205D30" w:rsidRPr="00205D30" w14:paraId="68BD93DB" w14:textId="77777777" w:rsidTr="003C1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B41C019" w14:textId="77777777" w:rsidR="00AB6617" w:rsidRPr="00205D30" w:rsidRDefault="00AB6617" w:rsidP="00EC5D14">
            <w:pPr>
              <w:spacing w:after="0"/>
              <w:jc w:val="center"/>
              <w:rPr>
                <w:rFonts w:cstheme="minorHAnsi"/>
              </w:rPr>
            </w:pPr>
            <w:r w:rsidRPr="00205D30">
              <w:rPr>
                <w:rFonts w:cstheme="minorHAnsi"/>
              </w:rPr>
              <w:t>2-2-96</w:t>
            </w:r>
          </w:p>
          <w:p w14:paraId="54737E02" w14:textId="1FC8CC22" w:rsidR="00AB6617" w:rsidRPr="00205D30" w:rsidRDefault="00AB6617" w:rsidP="00EC5D14">
            <w:pPr>
              <w:spacing w:after="0"/>
              <w:jc w:val="center"/>
              <w:rPr>
                <w:rFonts w:cstheme="minorHAnsi"/>
              </w:rPr>
            </w:pPr>
            <w:r w:rsidRPr="00205D30">
              <w:rPr>
                <w:rFonts w:cstheme="minorHAnsi"/>
              </w:rPr>
              <w:t>model</w:t>
            </w:r>
          </w:p>
        </w:tc>
        <w:tc>
          <w:tcPr>
            <w:tcW w:w="1225" w:type="dxa"/>
            <w:vAlign w:val="center"/>
            <w:hideMark/>
          </w:tcPr>
          <w:p w14:paraId="6DB6078A" w14:textId="3F1D022B" w:rsidR="00AB6617" w:rsidRPr="00205D30" w:rsidRDefault="00AB6617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v</w:t>
            </w:r>
          </w:p>
        </w:tc>
        <w:tc>
          <w:tcPr>
            <w:tcW w:w="1217" w:type="dxa"/>
            <w:vAlign w:val="center"/>
            <w:hideMark/>
          </w:tcPr>
          <w:p w14:paraId="7B4C19C9" w14:textId="77777777" w:rsidR="00AB6617" w:rsidRPr="00205D30" w:rsidRDefault="00AB6617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0.02</w:t>
            </w:r>
          </w:p>
        </w:tc>
        <w:tc>
          <w:tcPr>
            <w:tcW w:w="1957" w:type="dxa"/>
            <w:vAlign w:val="center"/>
          </w:tcPr>
          <w:p w14:paraId="12DEF4E0" w14:textId="1D7A32D4" w:rsidR="00AB6617" w:rsidRPr="00205D30" w:rsidRDefault="00EC5D14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0.20</w:t>
            </w:r>
          </w:p>
        </w:tc>
        <w:tc>
          <w:tcPr>
            <w:tcW w:w="1206" w:type="dxa"/>
            <w:vAlign w:val="center"/>
            <w:hideMark/>
          </w:tcPr>
          <w:p w14:paraId="31864083" w14:textId="00929807" w:rsidR="00AB6617" w:rsidRPr="00205D30" w:rsidRDefault="00AB6617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12.25</w:t>
            </w:r>
          </w:p>
        </w:tc>
        <w:tc>
          <w:tcPr>
            <w:tcW w:w="1334" w:type="dxa"/>
            <w:vAlign w:val="center"/>
            <w:hideMark/>
          </w:tcPr>
          <w:p w14:paraId="0665AB40" w14:textId="40D72AD4" w:rsidR="00AB6617" w:rsidRPr="00205D30" w:rsidRDefault="00AB6617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0.</w:t>
            </w:r>
            <w:r w:rsidR="003C1BCE">
              <w:rPr>
                <w:rFonts w:cstheme="minorHAnsi"/>
              </w:rPr>
              <w:t>265</w:t>
            </w:r>
          </w:p>
        </w:tc>
        <w:tc>
          <w:tcPr>
            <w:tcW w:w="1452" w:type="dxa"/>
            <w:vAlign w:val="center"/>
          </w:tcPr>
          <w:p w14:paraId="05675892" w14:textId="63EBD669" w:rsidR="00AB6617" w:rsidRPr="00205D30" w:rsidRDefault="003C1BCE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0.078</w:t>
            </w:r>
          </w:p>
        </w:tc>
      </w:tr>
      <w:tr w:rsidR="00205D30" w:rsidRPr="00205D30" w14:paraId="11D9A2B4" w14:textId="77777777" w:rsidTr="003C1B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  <w:vAlign w:val="center"/>
            <w:hideMark/>
          </w:tcPr>
          <w:p w14:paraId="4BDE28F3" w14:textId="77777777" w:rsidR="00AB6617" w:rsidRPr="00205D30" w:rsidRDefault="00AB6617" w:rsidP="00EC5D1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225" w:type="dxa"/>
            <w:vAlign w:val="center"/>
            <w:hideMark/>
          </w:tcPr>
          <w:p w14:paraId="24D5DDCD" w14:textId="265FA6B5" w:rsidR="00AB6617" w:rsidRPr="00205D30" w:rsidRDefault="00AB6617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s + g</w:t>
            </w:r>
          </w:p>
        </w:tc>
        <w:tc>
          <w:tcPr>
            <w:tcW w:w="1217" w:type="dxa"/>
            <w:vAlign w:val="center"/>
            <w:hideMark/>
          </w:tcPr>
          <w:p w14:paraId="3BAACE0D" w14:textId="77777777" w:rsidR="00AB6617" w:rsidRPr="00205D30" w:rsidRDefault="00AB6617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0.98</w:t>
            </w:r>
          </w:p>
        </w:tc>
        <w:tc>
          <w:tcPr>
            <w:tcW w:w="1957" w:type="dxa"/>
            <w:vAlign w:val="center"/>
          </w:tcPr>
          <w:p w14:paraId="512EA5E4" w14:textId="55A7B290" w:rsidR="00AB6617" w:rsidRPr="00205D30" w:rsidRDefault="00EC5D14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0.80</w:t>
            </w:r>
          </w:p>
        </w:tc>
        <w:tc>
          <w:tcPr>
            <w:tcW w:w="1206" w:type="dxa"/>
            <w:vAlign w:val="center"/>
            <w:hideMark/>
          </w:tcPr>
          <w:p w14:paraId="22AF94A1" w14:textId="754BFB61" w:rsidR="00AB6617" w:rsidRPr="00205D30" w:rsidRDefault="00AB6617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1</w:t>
            </w:r>
          </w:p>
        </w:tc>
        <w:tc>
          <w:tcPr>
            <w:tcW w:w="1334" w:type="dxa"/>
            <w:vAlign w:val="center"/>
            <w:hideMark/>
          </w:tcPr>
          <w:p w14:paraId="44E5980A" w14:textId="3C346943" w:rsidR="00AB6617" w:rsidRPr="00205D30" w:rsidRDefault="00AB6617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0.</w:t>
            </w:r>
            <w:r w:rsidR="003C1BCE">
              <w:rPr>
                <w:rFonts w:cstheme="minorHAnsi"/>
              </w:rPr>
              <w:t>786</w:t>
            </w:r>
          </w:p>
        </w:tc>
        <w:tc>
          <w:tcPr>
            <w:tcW w:w="1452" w:type="dxa"/>
            <w:vAlign w:val="center"/>
          </w:tcPr>
          <w:p w14:paraId="37069046" w14:textId="25921814" w:rsidR="00AB6617" w:rsidRPr="00205D30" w:rsidRDefault="003C1BCE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0.922</w:t>
            </w:r>
          </w:p>
        </w:tc>
      </w:tr>
      <w:tr w:rsidR="00205D30" w:rsidRPr="00205D30" w14:paraId="3E8E09B7" w14:textId="77777777" w:rsidTr="00EC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  <w:vAlign w:val="center"/>
          </w:tcPr>
          <w:p w14:paraId="2D9D67A7" w14:textId="48CE3B9A" w:rsidR="00AB6617" w:rsidRPr="00205D30" w:rsidRDefault="00AB6617" w:rsidP="00EC5D14">
            <w:pPr>
              <w:spacing w:after="0"/>
              <w:jc w:val="center"/>
              <w:rPr>
                <w:rFonts w:cstheme="minorHAnsi"/>
              </w:rPr>
            </w:pPr>
            <w:r w:rsidRPr="00205D30">
              <w:rPr>
                <w:rFonts w:cstheme="minorHAnsi"/>
              </w:rPr>
              <w:t>8-8-84</w:t>
            </w:r>
          </w:p>
          <w:p w14:paraId="58BB0CAF" w14:textId="7EF7BFEE" w:rsidR="00AB6617" w:rsidRPr="00205D30" w:rsidRDefault="00AB6617" w:rsidP="00EC5D14">
            <w:pPr>
              <w:spacing w:after="0"/>
              <w:jc w:val="center"/>
              <w:rPr>
                <w:rFonts w:cstheme="minorHAnsi"/>
              </w:rPr>
            </w:pPr>
            <w:r w:rsidRPr="00205D30">
              <w:rPr>
                <w:rFonts w:cstheme="minorHAnsi"/>
              </w:rPr>
              <w:t>model</w:t>
            </w:r>
          </w:p>
        </w:tc>
        <w:tc>
          <w:tcPr>
            <w:tcW w:w="1225" w:type="dxa"/>
            <w:vAlign w:val="center"/>
          </w:tcPr>
          <w:p w14:paraId="1AE287B1" w14:textId="45946541" w:rsidR="00AB6617" w:rsidRPr="00205D30" w:rsidRDefault="00AB6617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v</w:t>
            </w:r>
          </w:p>
        </w:tc>
        <w:tc>
          <w:tcPr>
            <w:tcW w:w="1217" w:type="dxa"/>
            <w:vAlign w:val="center"/>
          </w:tcPr>
          <w:p w14:paraId="7F7C5D46" w14:textId="3E00CFC2" w:rsidR="00AB6617" w:rsidRPr="00205D30" w:rsidRDefault="00AB6617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0.08</w:t>
            </w:r>
          </w:p>
        </w:tc>
        <w:tc>
          <w:tcPr>
            <w:tcW w:w="1957" w:type="dxa"/>
            <w:vAlign w:val="center"/>
          </w:tcPr>
          <w:p w14:paraId="421BF676" w14:textId="39764E7E" w:rsidR="00AB6617" w:rsidRPr="00205D30" w:rsidRDefault="00EC5D14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0.504</w:t>
            </w:r>
          </w:p>
        </w:tc>
        <w:tc>
          <w:tcPr>
            <w:tcW w:w="1206" w:type="dxa"/>
            <w:vAlign w:val="center"/>
          </w:tcPr>
          <w:p w14:paraId="61134DAC" w14:textId="19EA67E1" w:rsidR="00AB6617" w:rsidRPr="00205D30" w:rsidRDefault="00AB6617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11.69</w:t>
            </w:r>
          </w:p>
        </w:tc>
        <w:tc>
          <w:tcPr>
            <w:tcW w:w="1334" w:type="dxa"/>
            <w:vAlign w:val="center"/>
          </w:tcPr>
          <w:p w14:paraId="3C97BA71" w14:textId="00A134FC" w:rsidR="00AB6617" w:rsidRPr="00205D30" w:rsidRDefault="00AB6617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0.</w:t>
            </w:r>
            <w:r w:rsidR="003C1BCE">
              <w:rPr>
                <w:rFonts w:cstheme="minorHAnsi"/>
              </w:rPr>
              <w:t>242</w:t>
            </w:r>
          </w:p>
        </w:tc>
        <w:tc>
          <w:tcPr>
            <w:tcW w:w="1452" w:type="dxa"/>
            <w:vAlign w:val="center"/>
          </w:tcPr>
          <w:p w14:paraId="23D85DAA" w14:textId="471D33D4" w:rsidR="00AB6617" w:rsidRPr="00205D30" w:rsidRDefault="003C1BCE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0.249</w:t>
            </w:r>
          </w:p>
        </w:tc>
      </w:tr>
      <w:tr w:rsidR="00205D30" w:rsidRPr="00205D30" w14:paraId="407D8456" w14:textId="77777777" w:rsidTr="00EC5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  <w:vAlign w:val="center"/>
          </w:tcPr>
          <w:p w14:paraId="6A178BD7" w14:textId="77777777" w:rsidR="00AB6617" w:rsidRPr="00205D30" w:rsidRDefault="00AB6617" w:rsidP="00EC5D1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225" w:type="dxa"/>
            <w:vAlign w:val="center"/>
          </w:tcPr>
          <w:p w14:paraId="245CB98F" w14:textId="3E8B4366" w:rsidR="00AB6617" w:rsidRPr="00205D30" w:rsidRDefault="00AB6617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s + g</w:t>
            </w:r>
          </w:p>
        </w:tc>
        <w:tc>
          <w:tcPr>
            <w:tcW w:w="1217" w:type="dxa"/>
            <w:vAlign w:val="center"/>
          </w:tcPr>
          <w:p w14:paraId="14475F7F" w14:textId="22E299CF" w:rsidR="00AB6617" w:rsidRPr="00205D30" w:rsidRDefault="00AB6617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0.92</w:t>
            </w:r>
          </w:p>
        </w:tc>
        <w:tc>
          <w:tcPr>
            <w:tcW w:w="1957" w:type="dxa"/>
            <w:vAlign w:val="center"/>
          </w:tcPr>
          <w:p w14:paraId="149CB872" w14:textId="25ED56F3" w:rsidR="00AB6617" w:rsidRPr="00205D30" w:rsidRDefault="00EC5D14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0.496</w:t>
            </w:r>
          </w:p>
        </w:tc>
        <w:tc>
          <w:tcPr>
            <w:tcW w:w="1206" w:type="dxa"/>
            <w:vAlign w:val="center"/>
          </w:tcPr>
          <w:p w14:paraId="112735A0" w14:textId="1DAB710A" w:rsidR="00AB6617" w:rsidRPr="00205D30" w:rsidRDefault="00AB6617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1</w:t>
            </w:r>
          </w:p>
        </w:tc>
        <w:tc>
          <w:tcPr>
            <w:tcW w:w="1334" w:type="dxa"/>
            <w:vAlign w:val="center"/>
          </w:tcPr>
          <w:p w14:paraId="2840EE3A" w14:textId="3FA4F94F" w:rsidR="00AB6617" w:rsidRPr="00205D30" w:rsidRDefault="00AB6617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0.</w:t>
            </w:r>
            <w:r w:rsidR="003C1BCE">
              <w:rPr>
                <w:rFonts w:cstheme="minorHAnsi"/>
              </w:rPr>
              <w:t>740</w:t>
            </w:r>
          </w:p>
        </w:tc>
        <w:tc>
          <w:tcPr>
            <w:tcW w:w="1452" w:type="dxa"/>
            <w:vAlign w:val="center"/>
          </w:tcPr>
          <w:p w14:paraId="5DFFFC43" w14:textId="78C6A4C0" w:rsidR="00AB6617" w:rsidRPr="00205D30" w:rsidRDefault="003C1BCE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0.751</w:t>
            </w:r>
          </w:p>
        </w:tc>
      </w:tr>
      <w:tr w:rsidR="00205D30" w:rsidRPr="00205D30" w14:paraId="690438A1" w14:textId="77777777" w:rsidTr="00EC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  <w:vAlign w:val="center"/>
          </w:tcPr>
          <w:p w14:paraId="34D0DCFA" w14:textId="1CAFD31F" w:rsidR="00AB6617" w:rsidRPr="00205D30" w:rsidRDefault="00AB6617" w:rsidP="00EC5D14">
            <w:pPr>
              <w:spacing w:after="0"/>
              <w:jc w:val="center"/>
              <w:rPr>
                <w:rFonts w:cstheme="minorHAnsi"/>
              </w:rPr>
            </w:pPr>
            <w:r w:rsidRPr="00205D30">
              <w:rPr>
                <w:rFonts w:cstheme="minorHAnsi"/>
              </w:rPr>
              <w:t>14-14-72</w:t>
            </w:r>
          </w:p>
          <w:p w14:paraId="2E51477F" w14:textId="018B0BDE" w:rsidR="00AB6617" w:rsidRPr="00205D30" w:rsidRDefault="00AB6617" w:rsidP="00EC5D14">
            <w:pPr>
              <w:spacing w:after="0"/>
              <w:jc w:val="center"/>
              <w:rPr>
                <w:rFonts w:cstheme="minorHAnsi"/>
              </w:rPr>
            </w:pPr>
            <w:r w:rsidRPr="00205D30">
              <w:rPr>
                <w:rFonts w:cstheme="minorHAnsi"/>
              </w:rPr>
              <w:t>model</w:t>
            </w:r>
          </w:p>
        </w:tc>
        <w:tc>
          <w:tcPr>
            <w:tcW w:w="1225" w:type="dxa"/>
            <w:vAlign w:val="center"/>
          </w:tcPr>
          <w:p w14:paraId="7F3098F7" w14:textId="56924A2B" w:rsidR="00AB6617" w:rsidRPr="00205D30" w:rsidRDefault="00AB6617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v</w:t>
            </w:r>
          </w:p>
        </w:tc>
        <w:tc>
          <w:tcPr>
            <w:tcW w:w="1217" w:type="dxa"/>
            <w:vAlign w:val="center"/>
          </w:tcPr>
          <w:p w14:paraId="06694707" w14:textId="58B5B76F" w:rsidR="00AB6617" w:rsidRPr="00205D30" w:rsidRDefault="00AB6617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0.14</w:t>
            </w:r>
          </w:p>
        </w:tc>
        <w:tc>
          <w:tcPr>
            <w:tcW w:w="1957" w:type="dxa"/>
            <w:vAlign w:val="center"/>
          </w:tcPr>
          <w:p w14:paraId="0CA91017" w14:textId="1810C023" w:rsidR="00AB6617" w:rsidRPr="00205D30" w:rsidRDefault="00AA6AD6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0.68</w:t>
            </w:r>
          </w:p>
        </w:tc>
        <w:tc>
          <w:tcPr>
            <w:tcW w:w="1206" w:type="dxa"/>
            <w:vAlign w:val="center"/>
          </w:tcPr>
          <w:p w14:paraId="0FD67E6F" w14:textId="55A7EE61" w:rsidR="00AB6617" w:rsidRPr="00205D30" w:rsidRDefault="00AB6617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13.05</w:t>
            </w:r>
          </w:p>
        </w:tc>
        <w:tc>
          <w:tcPr>
            <w:tcW w:w="1334" w:type="dxa"/>
            <w:vAlign w:val="center"/>
          </w:tcPr>
          <w:p w14:paraId="32BD2637" w14:textId="2AFAA883" w:rsidR="00AB6617" w:rsidRPr="00205D30" w:rsidRDefault="00AB6617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0.</w:t>
            </w:r>
            <w:r w:rsidR="003C1BCE">
              <w:rPr>
                <w:rFonts w:cstheme="minorHAnsi"/>
              </w:rPr>
              <w:t>216</w:t>
            </w:r>
          </w:p>
        </w:tc>
        <w:tc>
          <w:tcPr>
            <w:tcW w:w="1452" w:type="dxa"/>
            <w:vAlign w:val="center"/>
          </w:tcPr>
          <w:p w14:paraId="1D6FE72C" w14:textId="7CD4C08D" w:rsidR="00AB6617" w:rsidRPr="00205D30" w:rsidRDefault="003C1BCE" w:rsidP="00EC5D1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0.402</w:t>
            </w:r>
          </w:p>
        </w:tc>
      </w:tr>
      <w:tr w:rsidR="00205D30" w:rsidRPr="00205D30" w14:paraId="65DDA5DB" w14:textId="77777777" w:rsidTr="00EC5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  <w:vAlign w:val="center"/>
          </w:tcPr>
          <w:p w14:paraId="61FD7AC9" w14:textId="77777777" w:rsidR="00AB6617" w:rsidRPr="00205D30" w:rsidRDefault="00AB6617" w:rsidP="00EC5D1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1225" w:type="dxa"/>
            <w:vAlign w:val="center"/>
          </w:tcPr>
          <w:p w14:paraId="545C6C5A" w14:textId="7FA56B21" w:rsidR="00AB6617" w:rsidRPr="00205D30" w:rsidRDefault="00AB6617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s + g</w:t>
            </w:r>
          </w:p>
        </w:tc>
        <w:tc>
          <w:tcPr>
            <w:tcW w:w="1217" w:type="dxa"/>
            <w:vAlign w:val="center"/>
          </w:tcPr>
          <w:p w14:paraId="78B591C8" w14:textId="3775B3E6" w:rsidR="00AB6617" w:rsidRPr="00205D30" w:rsidRDefault="00AB6617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0.</w:t>
            </w:r>
            <w:r w:rsidR="00205D30" w:rsidRPr="00205D30">
              <w:rPr>
                <w:rFonts w:cstheme="minorHAnsi"/>
              </w:rPr>
              <w:t>86</w:t>
            </w:r>
          </w:p>
        </w:tc>
        <w:tc>
          <w:tcPr>
            <w:tcW w:w="1957" w:type="dxa"/>
            <w:vAlign w:val="center"/>
          </w:tcPr>
          <w:p w14:paraId="05389386" w14:textId="64226F32" w:rsidR="00AB6617" w:rsidRPr="00205D30" w:rsidRDefault="00AA6AD6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0.32</w:t>
            </w:r>
          </w:p>
        </w:tc>
        <w:tc>
          <w:tcPr>
            <w:tcW w:w="1206" w:type="dxa"/>
            <w:vAlign w:val="center"/>
          </w:tcPr>
          <w:p w14:paraId="68A6A4BC" w14:textId="551C42BB" w:rsidR="00AB6617" w:rsidRPr="00205D30" w:rsidRDefault="00AB6617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1</w:t>
            </w:r>
          </w:p>
        </w:tc>
        <w:tc>
          <w:tcPr>
            <w:tcW w:w="1334" w:type="dxa"/>
            <w:vAlign w:val="center"/>
          </w:tcPr>
          <w:p w14:paraId="5C0A9C88" w14:textId="1CA7E558" w:rsidR="00AB6617" w:rsidRPr="00205D30" w:rsidRDefault="00AB6617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5D30">
              <w:rPr>
                <w:rFonts w:cstheme="minorHAnsi"/>
              </w:rPr>
              <w:t>0.</w:t>
            </w:r>
            <w:r w:rsidR="003C1BCE">
              <w:rPr>
                <w:rFonts w:cstheme="minorHAnsi"/>
              </w:rPr>
              <w:t>682</w:t>
            </w:r>
          </w:p>
        </w:tc>
        <w:tc>
          <w:tcPr>
            <w:tcW w:w="1452" w:type="dxa"/>
            <w:vAlign w:val="center"/>
          </w:tcPr>
          <w:p w14:paraId="1E23FE40" w14:textId="0C75F056" w:rsidR="00AB6617" w:rsidRPr="00205D30" w:rsidRDefault="003C1BCE" w:rsidP="00EC5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0.598</w:t>
            </w:r>
          </w:p>
        </w:tc>
      </w:tr>
    </w:tbl>
    <w:p w14:paraId="65437BA0" w14:textId="3A0953F1" w:rsidR="003A301B" w:rsidRDefault="003A301B" w:rsidP="003A301B">
      <w:pPr>
        <w:rPr>
          <w:sz w:val="24"/>
          <w:szCs w:val="24"/>
        </w:rPr>
      </w:pPr>
      <w:r>
        <w:rPr>
          <w:sz w:val="24"/>
          <w:szCs w:val="24"/>
        </w:rPr>
        <w:t>*Over one year from start of lockdown (day 71</w:t>
      </w:r>
      <w:r w:rsidR="00EC5D14">
        <w:rPr>
          <w:sz w:val="24"/>
          <w:szCs w:val="24"/>
        </w:rPr>
        <w:t xml:space="preserve"> to day 436</w:t>
      </w:r>
      <w:r>
        <w:rPr>
          <w:sz w:val="24"/>
          <w:szCs w:val="24"/>
        </w:rPr>
        <w:t>)</w:t>
      </w:r>
    </w:p>
    <w:p w14:paraId="44111B3C" w14:textId="77777777" w:rsidR="00402FCB" w:rsidRDefault="00402FCB" w:rsidP="00EC5D14">
      <w:pPr>
        <w:pStyle w:val="NoSpacing"/>
      </w:pPr>
    </w:p>
    <w:sectPr w:rsidR="00402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11073"/>
    <w:multiLevelType w:val="hybridMultilevel"/>
    <w:tmpl w:val="84EA7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1B"/>
    <w:rsid w:val="00065812"/>
    <w:rsid w:val="000C1138"/>
    <w:rsid w:val="00205D30"/>
    <w:rsid w:val="003A301B"/>
    <w:rsid w:val="003C1BCE"/>
    <w:rsid w:val="003F4684"/>
    <w:rsid w:val="00402FCB"/>
    <w:rsid w:val="00436B76"/>
    <w:rsid w:val="00652257"/>
    <w:rsid w:val="006935C5"/>
    <w:rsid w:val="007B44B7"/>
    <w:rsid w:val="00806545"/>
    <w:rsid w:val="00877DF3"/>
    <w:rsid w:val="00AA6AD6"/>
    <w:rsid w:val="00AB6617"/>
    <w:rsid w:val="00B2572E"/>
    <w:rsid w:val="00B70F83"/>
    <w:rsid w:val="00EC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7B4C"/>
  <w15:chartTrackingRefBased/>
  <w15:docId w15:val="{BA53CEAE-2EFD-4DB6-99D7-511D9BB1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3A301B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01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A301B"/>
    <w:rPr>
      <w:sz w:val="16"/>
      <w:szCs w:val="16"/>
    </w:rPr>
  </w:style>
  <w:style w:type="table" w:styleId="TableGrid">
    <w:name w:val="Table Grid"/>
    <w:basedOn w:val="TableNormal"/>
    <w:uiPriority w:val="59"/>
    <w:rsid w:val="003A30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3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01B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205D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EC5D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1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Morgan</dc:creator>
  <cp:keywords/>
  <dc:description/>
  <cp:lastModifiedBy>Alexander Morgan</cp:lastModifiedBy>
  <cp:revision>4</cp:revision>
  <dcterms:created xsi:type="dcterms:W3CDTF">2020-04-29T19:13:00Z</dcterms:created>
  <dcterms:modified xsi:type="dcterms:W3CDTF">2020-05-02T12:59:00Z</dcterms:modified>
</cp:coreProperties>
</file>