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0C97A" w14:textId="17DF6815" w:rsidR="00405EF6" w:rsidRDefault="007D72FA" w:rsidP="00B53016">
      <w:pPr>
        <w:spacing w:after="0" w:line="240" w:lineRule="auto"/>
        <w:jc w:val="center"/>
        <w:rPr>
          <w:b/>
          <w:bCs/>
          <w:u w:val="single"/>
        </w:rPr>
      </w:pPr>
      <w:r w:rsidRPr="003F6928">
        <w:rPr>
          <w:b/>
          <w:bCs/>
          <w:u w:val="single"/>
        </w:rPr>
        <w:t>Overview of COVID-19 Work</w:t>
      </w:r>
    </w:p>
    <w:p w14:paraId="4FCE401E" w14:textId="7D6DC1C4" w:rsidR="003F6928" w:rsidRDefault="003F6928" w:rsidP="003F6928">
      <w:pPr>
        <w:spacing w:after="0" w:line="240" w:lineRule="auto"/>
        <w:rPr>
          <w:b/>
          <w:bCs/>
          <w:u w:val="single"/>
        </w:rPr>
      </w:pPr>
    </w:p>
    <w:p w14:paraId="76AF8A90" w14:textId="246ECAE8" w:rsidR="00D8664C" w:rsidRDefault="008228B9" w:rsidP="003F6928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Preliminary COVID-19 Analysis</w:t>
      </w:r>
    </w:p>
    <w:p w14:paraId="43440657" w14:textId="77777777" w:rsidR="006A7586" w:rsidRDefault="006A7586" w:rsidP="006A7586">
      <w:pPr>
        <w:spacing w:after="0" w:line="240" w:lineRule="auto"/>
      </w:pPr>
    </w:p>
    <w:p w14:paraId="762455DA" w14:textId="33632765" w:rsidR="00C33A0E" w:rsidRPr="00C33A0E" w:rsidRDefault="006A7586" w:rsidP="00C33A0E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Modelling the effect of </w:t>
      </w:r>
      <w:r w:rsidR="00212482">
        <w:rPr>
          <w:b/>
          <w:bCs/>
        </w:rPr>
        <w:t>impact</w:t>
      </w:r>
      <w:r w:rsidR="00C33A0E" w:rsidRPr="00C33A0E">
        <w:rPr>
          <w:b/>
          <w:bCs/>
        </w:rPr>
        <w:t xml:space="preserve"> of sequential </w:t>
      </w:r>
      <w:r w:rsidR="00212482">
        <w:rPr>
          <w:b/>
          <w:bCs/>
        </w:rPr>
        <w:t>non-pharmaceutical interventions</w:t>
      </w:r>
      <w:r w:rsidR="00C33A0E" w:rsidRPr="00C33A0E">
        <w:rPr>
          <w:b/>
          <w:bCs/>
        </w:rPr>
        <w:t xml:space="preserve"> to control a COVID-19 outbreak (11/03/20)</w:t>
      </w:r>
    </w:p>
    <w:p w14:paraId="6AFE87C0" w14:textId="5BF08C72" w:rsidR="00C33A0E" w:rsidRDefault="00C47C9F" w:rsidP="00C33A0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Used </w:t>
      </w:r>
      <w:proofErr w:type="gramStart"/>
      <w:r>
        <w:t>a</w:t>
      </w:r>
      <w:proofErr w:type="gramEnd"/>
      <w:r>
        <w:t xml:space="preserve"> SIR mathematical model to explore the impact of t</w:t>
      </w:r>
      <w:r w:rsidR="00212482">
        <w:t>wo time-limited, sequential reductions to COVID-19 transmission on</w:t>
      </w:r>
      <w:r>
        <w:t xml:space="preserve"> the </w:t>
      </w:r>
      <w:r w:rsidR="00212482">
        <w:t xml:space="preserve">epidemic curve. </w:t>
      </w:r>
    </w:p>
    <w:p w14:paraId="4AF4C16C" w14:textId="5A910904" w:rsidR="00212482" w:rsidRDefault="00212482" w:rsidP="00C33A0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We identified that the modelled NPIs would greatly mitigate the maximum peak prevalence of the epidemic curve, but also greatly extend the length of the epidemic from &lt;1 year to &gt;2 years. </w:t>
      </w:r>
    </w:p>
    <w:p w14:paraId="0913CF99" w14:textId="4F5A0F22" w:rsidR="00211BD8" w:rsidRDefault="00522847" w:rsidP="00C33A0E">
      <w:pPr>
        <w:pStyle w:val="ListParagraph"/>
        <w:numPr>
          <w:ilvl w:val="1"/>
          <w:numId w:val="1"/>
        </w:numPr>
        <w:spacing w:after="0" w:line="240" w:lineRule="auto"/>
      </w:pPr>
      <w:r>
        <w:t>Analysis c</w:t>
      </w:r>
      <w:r w:rsidR="00211BD8">
        <w:t xml:space="preserve">arried out for SPI-M, sent to SAGE. </w:t>
      </w:r>
    </w:p>
    <w:p w14:paraId="3AC5F024" w14:textId="77777777" w:rsidR="00290D44" w:rsidRDefault="00290D44" w:rsidP="00290D44">
      <w:pPr>
        <w:spacing w:after="0" w:line="240" w:lineRule="auto"/>
      </w:pPr>
    </w:p>
    <w:p w14:paraId="2B1D968A" w14:textId="16BDCEDE" w:rsidR="00D8664C" w:rsidRPr="00393BF4" w:rsidRDefault="00EE51BA" w:rsidP="00D8664C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Exploring the impact of immunity on COVID-19 </w:t>
      </w:r>
      <w:r w:rsidR="00307795">
        <w:rPr>
          <w:b/>
          <w:bCs/>
        </w:rPr>
        <w:t>“wave” dynamics</w:t>
      </w:r>
      <w:r>
        <w:rPr>
          <w:b/>
          <w:bCs/>
        </w:rPr>
        <w:t xml:space="preserve"> </w:t>
      </w:r>
      <w:r w:rsidR="004D621E" w:rsidRPr="00393BF4">
        <w:rPr>
          <w:b/>
          <w:bCs/>
        </w:rPr>
        <w:t>(</w:t>
      </w:r>
      <w:r w:rsidR="008228B9" w:rsidRPr="00393BF4">
        <w:rPr>
          <w:b/>
          <w:bCs/>
        </w:rPr>
        <w:t>19/03/20</w:t>
      </w:r>
      <w:r w:rsidR="004D621E" w:rsidRPr="00393BF4">
        <w:rPr>
          <w:b/>
          <w:bCs/>
        </w:rPr>
        <w:t>)</w:t>
      </w:r>
      <w:r w:rsidR="00D8664C" w:rsidRPr="00393BF4">
        <w:rPr>
          <w:b/>
          <w:bCs/>
        </w:rPr>
        <w:t xml:space="preserve"> </w:t>
      </w:r>
    </w:p>
    <w:p w14:paraId="5C4C5661" w14:textId="59F0FF26" w:rsidR="00290D44" w:rsidRDefault="00C47C9F" w:rsidP="00C47C9F">
      <w:pPr>
        <w:pStyle w:val="ListParagraph"/>
        <w:numPr>
          <w:ilvl w:val="1"/>
          <w:numId w:val="1"/>
        </w:numPr>
        <w:spacing w:after="0" w:line="240" w:lineRule="auto"/>
      </w:pPr>
      <w:r>
        <w:t>Used variations of the SIR model structure to explore</w:t>
      </w:r>
      <w:r w:rsidR="00393BF4">
        <w:t xml:space="preserve"> the </w:t>
      </w:r>
      <w:r w:rsidR="00290D44">
        <w:t xml:space="preserve">transmission dynamics of COVID-19 resulting from the introduction of a single package of NPIs with different assumptions regarding the presence of </w:t>
      </w:r>
      <w:r>
        <w:t xml:space="preserve">immunizing infection </w:t>
      </w:r>
      <w:r w:rsidR="00290D44">
        <w:t xml:space="preserve">(SIR, SIRS and SIS models). </w:t>
      </w:r>
    </w:p>
    <w:p w14:paraId="24423419" w14:textId="2E1CB63E" w:rsidR="00EE51BA" w:rsidRDefault="00EE51BA" w:rsidP="00C47C9F">
      <w:pPr>
        <w:pStyle w:val="ListParagraph"/>
        <w:numPr>
          <w:ilvl w:val="1"/>
          <w:numId w:val="1"/>
        </w:numPr>
        <w:spacing w:after="0" w:line="240" w:lineRule="auto"/>
      </w:pPr>
      <w:r>
        <w:t>We identified that the presence of immunity would have very little impact of the dynamics of the initial COVID-19 epidemic wave</w:t>
      </w:r>
      <w:r w:rsidR="00C47C9F">
        <w:t>, but with subsequent epidemic waves (2</w:t>
      </w:r>
      <w:r w:rsidR="00C47C9F" w:rsidRPr="00EE51BA">
        <w:rPr>
          <w:vertAlign w:val="superscript"/>
        </w:rPr>
        <w:t>nd</w:t>
      </w:r>
      <w:r w:rsidR="00C47C9F">
        <w:t>, 3</w:t>
      </w:r>
      <w:r w:rsidR="00C47C9F" w:rsidRPr="00EE51BA">
        <w:rPr>
          <w:vertAlign w:val="superscript"/>
        </w:rPr>
        <w:t>rd</w:t>
      </w:r>
      <w:r w:rsidR="00C47C9F">
        <w:t xml:space="preserve">) showing substantial differences across SIR, </w:t>
      </w:r>
      <w:proofErr w:type="gramStart"/>
      <w:r w:rsidR="00C47C9F">
        <w:t>SIS</w:t>
      </w:r>
      <w:proofErr w:type="gramEnd"/>
      <w:r w:rsidR="00C47C9F">
        <w:t xml:space="preserve"> and SIRS models. </w:t>
      </w:r>
    </w:p>
    <w:p w14:paraId="28193631" w14:textId="53F03DC4" w:rsidR="001C2DDA" w:rsidRDefault="00C47C9F" w:rsidP="001C2DDA">
      <w:pPr>
        <w:pStyle w:val="ListParagraph"/>
        <w:numPr>
          <w:ilvl w:val="1"/>
          <w:numId w:val="1"/>
        </w:numPr>
        <w:spacing w:after="0" w:line="240" w:lineRule="auto"/>
      </w:pPr>
      <w:proofErr w:type="gramStart"/>
      <w:r>
        <w:t>Therefore</w:t>
      </w:r>
      <w:proofErr w:type="gramEnd"/>
      <w:r>
        <w:t xml:space="preserve"> t</w:t>
      </w:r>
      <w:r w:rsidR="00EE51BA">
        <w:t>he presence of long-term immunising</w:t>
      </w:r>
      <w:r w:rsidR="001C2DDA">
        <w:t xml:space="preserve"> </w:t>
      </w:r>
      <w:r w:rsidR="00EE51BA">
        <w:t xml:space="preserve">infection would only have an impact as the COVID-19 progresses in the </w:t>
      </w:r>
      <w:r>
        <w:t>later</w:t>
      </w:r>
      <w:r w:rsidR="00EE51BA">
        <w:t xml:space="preserve"> stages</w:t>
      </w:r>
      <w:r>
        <w:t xml:space="preserve"> of the outbreak</w:t>
      </w:r>
      <w:r w:rsidR="00EE51BA">
        <w:t xml:space="preserve">. </w:t>
      </w:r>
    </w:p>
    <w:p w14:paraId="60CCEB4C" w14:textId="53A27451" w:rsidR="00211BD8" w:rsidRDefault="00522847" w:rsidP="00211BD8">
      <w:pPr>
        <w:pStyle w:val="ListParagraph"/>
        <w:numPr>
          <w:ilvl w:val="1"/>
          <w:numId w:val="1"/>
        </w:numPr>
        <w:spacing w:after="0" w:line="240" w:lineRule="auto"/>
      </w:pPr>
      <w:r>
        <w:t>Analysis c</w:t>
      </w:r>
      <w:r w:rsidR="00211BD8">
        <w:t>arried out for SPI-</w:t>
      </w:r>
      <w:proofErr w:type="gramStart"/>
      <w:r w:rsidR="00211BD8">
        <w:t>M ,</w:t>
      </w:r>
      <w:proofErr w:type="gramEnd"/>
      <w:r w:rsidR="00211BD8">
        <w:t xml:space="preserve"> sent to SAGE. </w:t>
      </w:r>
    </w:p>
    <w:p w14:paraId="328773B2" w14:textId="77777777" w:rsidR="00290D44" w:rsidRDefault="00290D44" w:rsidP="00290D44">
      <w:pPr>
        <w:spacing w:after="0" w:line="240" w:lineRule="auto"/>
      </w:pPr>
    </w:p>
    <w:p w14:paraId="4FD937B1" w14:textId="615DC77B" w:rsidR="00C47C9F" w:rsidRPr="00C47C9F" w:rsidRDefault="00307795" w:rsidP="00C47C9F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Exploring the impact of varying the </w:t>
      </w:r>
      <w:r w:rsidR="000039B2">
        <w:rPr>
          <w:b/>
          <w:bCs/>
        </w:rPr>
        <w:t xml:space="preserve">duration of non-pharmaceutical interventions </w:t>
      </w:r>
      <w:r>
        <w:rPr>
          <w:b/>
          <w:bCs/>
        </w:rPr>
        <w:t>on epidemic peak</w:t>
      </w:r>
      <w:r w:rsidR="00C33A0E" w:rsidRPr="00393BF4">
        <w:rPr>
          <w:b/>
          <w:bCs/>
        </w:rPr>
        <w:t xml:space="preserve"> </w:t>
      </w:r>
      <w:r>
        <w:rPr>
          <w:b/>
          <w:bCs/>
        </w:rPr>
        <w:t xml:space="preserve">timing </w:t>
      </w:r>
      <w:r w:rsidR="00C33A0E" w:rsidRPr="00393BF4">
        <w:rPr>
          <w:b/>
          <w:bCs/>
        </w:rPr>
        <w:t>(19/03/20 – 21/03/20)</w:t>
      </w:r>
    </w:p>
    <w:p w14:paraId="0C992091" w14:textId="1386EA47" w:rsidR="00C93412" w:rsidRDefault="00C47C9F" w:rsidP="00C93412">
      <w:pPr>
        <w:pStyle w:val="ListParagraph"/>
        <w:numPr>
          <w:ilvl w:val="1"/>
          <w:numId w:val="1"/>
        </w:numPr>
        <w:spacing w:after="0" w:line="240" w:lineRule="auto"/>
      </w:pPr>
      <w:proofErr w:type="gramStart"/>
      <w:r>
        <w:t>A</w:t>
      </w:r>
      <w:proofErr w:type="gramEnd"/>
      <w:r>
        <w:t xml:space="preserve"> SIR model was use to explore the impact of varying NPI duration </w:t>
      </w:r>
      <w:r w:rsidR="00307795">
        <w:t xml:space="preserve">on the size and the timing of </w:t>
      </w:r>
      <w:r w:rsidR="00C93412">
        <w:t>a 2</w:t>
      </w:r>
      <w:r w:rsidR="00C93412" w:rsidRPr="00C93412">
        <w:rPr>
          <w:vertAlign w:val="superscript"/>
        </w:rPr>
        <w:t>nd</w:t>
      </w:r>
      <w:r w:rsidR="00C93412">
        <w:t xml:space="preserve"> (post-intervention) COVID-19 epidemic peak, relative to the initial 1</w:t>
      </w:r>
      <w:r w:rsidR="00C93412" w:rsidRPr="00C93412">
        <w:rPr>
          <w:vertAlign w:val="superscript"/>
        </w:rPr>
        <w:t>st</w:t>
      </w:r>
      <w:r w:rsidR="00C93412">
        <w:t xml:space="preserve"> epidemic peak.   </w:t>
      </w:r>
    </w:p>
    <w:p w14:paraId="184D7948" w14:textId="575E4B77" w:rsidR="00C33A0E" w:rsidRDefault="00C93412" w:rsidP="00C33A0E">
      <w:pPr>
        <w:pStyle w:val="ListParagraph"/>
        <w:numPr>
          <w:ilvl w:val="1"/>
          <w:numId w:val="1"/>
        </w:numPr>
        <w:spacing w:after="0" w:line="240" w:lineRule="auto"/>
      </w:pPr>
      <w:r>
        <w:t>We identified that by increasing the NPI duration by intervals of 14 days, epidemic peak</w:t>
      </w:r>
      <w:r w:rsidR="00C47C9F">
        <w:t xml:space="preserve"> can be delayed</w:t>
      </w:r>
      <w:r>
        <w:t xml:space="preserve"> by 14-16 days</w:t>
      </w:r>
      <w:r w:rsidR="000039B2">
        <w:t>.</w:t>
      </w:r>
    </w:p>
    <w:p w14:paraId="5781FC74" w14:textId="5A97DFAC" w:rsidR="00C47C9F" w:rsidRDefault="00C47C9F" w:rsidP="00C33A0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This delay was constant as intervals of 14 days were added to the NPI duration. </w:t>
      </w:r>
    </w:p>
    <w:p w14:paraId="5A1A3083" w14:textId="27DA4D52" w:rsidR="00C33A0E" w:rsidRDefault="000039B2" w:rsidP="00C33A0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Increases in the NPI duration also had mitigating effects on the size of the epidemic peak. </w:t>
      </w:r>
      <w:proofErr w:type="gramStart"/>
      <w:r>
        <w:t>However</w:t>
      </w:r>
      <w:proofErr w:type="gramEnd"/>
      <w:r>
        <w:t xml:space="preserve"> a saturation effect was observed, with increases in NPI duration of &gt;42 days having little effect on mitigating the epidemic peak.</w:t>
      </w:r>
    </w:p>
    <w:p w14:paraId="07445D7F" w14:textId="0F6CB670" w:rsidR="000039B2" w:rsidRDefault="000039B2" w:rsidP="00C33A0E">
      <w:pPr>
        <w:pStyle w:val="ListParagraph"/>
        <w:numPr>
          <w:ilvl w:val="1"/>
          <w:numId w:val="1"/>
        </w:numPr>
        <w:spacing w:after="0" w:line="240" w:lineRule="auto"/>
      </w:pPr>
      <w:r>
        <w:t>We highlighted that increasing the duration of an NPI can be used to delay the peak of a simulated COVID-19 epidemic and “buy-time” for the build-up of health capacity.</w:t>
      </w:r>
    </w:p>
    <w:p w14:paraId="044FFC41" w14:textId="02658BFA" w:rsidR="00211BD8" w:rsidRDefault="00522847" w:rsidP="00C33A0E">
      <w:pPr>
        <w:pStyle w:val="ListParagraph"/>
        <w:numPr>
          <w:ilvl w:val="1"/>
          <w:numId w:val="1"/>
        </w:numPr>
        <w:spacing w:after="0" w:line="240" w:lineRule="auto"/>
      </w:pPr>
      <w:r>
        <w:t>Analysis c</w:t>
      </w:r>
      <w:r w:rsidR="00211BD8">
        <w:t xml:space="preserve">arried out for SPI-M, sent to SAGE. </w:t>
      </w:r>
    </w:p>
    <w:p w14:paraId="7BAE936C" w14:textId="77777777" w:rsidR="00307795" w:rsidRDefault="00307795" w:rsidP="00307795">
      <w:pPr>
        <w:spacing w:after="0" w:line="240" w:lineRule="auto"/>
      </w:pPr>
    </w:p>
    <w:p w14:paraId="56D9DB94" w14:textId="746E46FB" w:rsidR="00C33A0E" w:rsidRPr="00C33A0E" w:rsidRDefault="000039B2" w:rsidP="00C33A0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Impact of varying the efficacy of non-pharmaceutical </w:t>
      </w:r>
      <w:r w:rsidR="00C33A0E" w:rsidRPr="00C33A0E">
        <w:rPr>
          <w:b/>
          <w:bCs/>
        </w:rPr>
        <w:t>on COVID-19 transmission dynamics (31/03/20)</w:t>
      </w:r>
    </w:p>
    <w:p w14:paraId="02BEEBD5" w14:textId="24BC5164" w:rsidR="000039B2" w:rsidRDefault="00C47C9F" w:rsidP="00C33A0E">
      <w:pPr>
        <w:pStyle w:val="ListParagraph"/>
        <w:numPr>
          <w:ilvl w:val="1"/>
          <w:numId w:val="1"/>
        </w:numPr>
      </w:pPr>
      <w:r>
        <w:t xml:space="preserve">Used </w:t>
      </w:r>
      <w:proofErr w:type="gramStart"/>
      <w:r>
        <w:t>a</w:t>
      </w:r>
      <w:proofErr w:type="gramEnd"/>
      <w:r>
        <w:t xml:space="preserve"> SIR model to explore</w:t>
      </w:r>
      <w:r w:rsidR="000039B2">
        <w:t xml:space="preserve"> how differential adherence to introduced </w:t>
      </w:r>
      <w:r>
        <w:t>NPIs</w:t>
      </w:r>
      <w:r w:rsidR="000039B2">
        <w:t xml:space="preserve"> can </w:t>
      </w:r>
      <w:r>
        <w:t>impact</w:t>
      </w:r>
      <w:r w:rsidR="000039B2">
        <w:t xml:space="preserve"> the epidemic peak and attack rate of a simulated COVID-19 outbreak.</w:t>
      </w:r>
    </w:p>
    <w:p w14:paraId="55591DD2" w14:textId="0B77F6B8" w:rsidR="00C33A0E" w:rsidRDefault="000039B2" w:rsidP="00C33A0E">
      <w:pPr>
        <w:pStyle w:val="ListParagraph"/>
        <w:numPr>
          <w:ilvl w:val="1"/>
          <w:numId w:val="1"/>
        </w:numPr>
      </w:pPr>
      <w:r>
        <w:t xml:space="preserve">This simple analysis highlighted that lower NPI efficacy will have a reduced effect at mitigating the peak prevalence and attack rate of a COVID-19 outbreak. </w:t>
      </w:r>
    </w:p>
    <w:p w14:paraId="1440A4EC" w14:textId="4EBB333C" w:rsidR="00211BD8" w:rsidRDefault="00522847" w:rsidP="00C33A0E">
      <w:pPr>
        <w:pStyle w:val="ListParagraph"/>
        <w:numPr>
          <w:ilvl w:val="1"/>
          <w:numId w:val="1"/>
        </w:numPr>
      </w:pPr>
      <w:r>
        <w:t>Analysis c</w:t>
      </w:r>
      <w:r w:rsidR="00211BD8">
        <w:t>arried out for SPI-M.</w:t>
      </w:r>
    </w:p>
    <w:p w14:paraId="580A2FF0" w14:textId="77777777" w:rsidR="00D8664C" w:rsidRDefault="00D8664C" w:rsidP="003F6928">
      <w:pPr>
        <w:spacing w:after="0" w:line="240" w:lineRule="auto"/>
        <w:rPr>
          <w:b/>
          <w:bCs/>
          <w:u w:val="single"/>
        </w:rPr>
      </w:pPr>
    </w:p>
    <w:p w14:paraId="4C8E5C3C" w14:textId="43B82B29" w:rsidR="00D8664C" w:rsidRDefault="00D8664C" w:rsidP="003F6928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Large </w:t>
      </w:r>
      <w:r w:rsidR="008228B9">
        <w:rPr>
          <w:b/>
          <w:bCs/>
          <w:u w:val="single"/>
        </w:rPr>
        <w:t>Projects</w:t>
      </w:r>
      <w:r>
        <w:rPr>
          <w:b/>
          <w:bCs/>
          <w:u w:val="single"/>
        </w:rPr>
        <w:t xml:space="preserve"> </w:t>
      </w:r>
    </w:p>
    <w:p w14:paraId="6633AAF0" w14:textId="7E930CFE" w:rsidR="00B53016" w:rsidRPr="005C37F9" w:rsidRDefault="00201278" w:rsidP="00201278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 w:rsidRPr="005C37F9">
        <w:rPr>
          <w:b/>
          <w:bCs/>
        </w:rPr>
        <w:lastRenderedPageBreak/>
        <w:t xml:space="preserve">Segmentation and shielding of the most vulnerable members of the population as elements of an exit strategy from COVID-19 lockdown </w:t>
      </w:r>
      <w:r w:rsidR="004D621E" w:rsidRPr="005C37F9">
        <w:rPr>
          <w:b/>
          <w:bCs/>
        </w:rPr>
        <w:t>(</w:t>
      </w:r>
      <w:r w:rsidR="00383358" w:rsidRPr="005C37F9">
        <w:rPr>
          <w:b/>
          <w:bCs/>
        </w:rPr>
        <w:t>01/04/20 – 20/05/20</w:t>
      </w:r>
      <w:r w:rsidR="004D621E" w:rsidRPr="005C37F9">
        <w:rPr>
          <w:b/>
          <w:bCs/>
        </w:rPr>
        <w:t>)</w:t>
      </w:r>
    </w:p>
    <w:p w14:paraId="79C19BC6" w14:textId="4E1F6040" w:rsidR="004E040B" w:rsidRDefault="00577F11" w:rsidP="00201278">
      <w:pPr>
        <w:pStyle w:val="ListParagraph"/>
        <w:numPr>
          <w:ilvl w:val="1"/>
          <w:numId w:val="12"/>
        </w:numPr>
        <w:spacing w:after="0"/>
      </w:pPr>
      <w:proofErr w:type="gramStart"/>
      <w:r>
        <w:t>A</w:t>
      </w:r>
      <w:proofErr w:type="gramEnd"/>
      <w:r>
        <w:t xml:space="preserve"> </w:t>
      </w:r>
      <w:r w:rsidR="00C47C9F">
        <w:t xml:space="preserve">SIR </w:t>
      </w:r>
      <w:r w:rsidR="004E040B">
        <w:t>mathematical</w:t>
      </w:r>
      <w:r>
        <w:t xml:space="preserve"> model was </w:t>
      </w:r>
      <w:r w:rsidR="004E040B">
        <w:t xml:space="preserve">used to explore the concept of “enhanced shielding” to protect vulnerable segments of the population and their closest contacts, termed </w:t>
      </w:r>
      <w:proofErr w:type="spellStart"/>
      <w:r w:rsidR="004E040B">
        <w:t>shielders</w:t>
      </w:r>
      <w:proofErr w:type="spellEnd"/>
      <w:r w:rsidR="005C37F9">
        <w:t>, while r</w:t>
      </w:r>
      <w:r w:rsidR="004E040B">
        <w:t>amping down restrictions for the non-vulnerable segments of the population.</w:t>
      </w:r>
    </w:p>
    <w:p w14:paraId="49375E32" w14:textId="5A69A2EB" w:rsidR="004E040B" w:rsidRDefault="004E040B" w:rsidP="00201278">
      <w:pPr>
        <w:pStyle w:val="ListParagraph"/>
        <w:numPr>
          <w:ilvl w:val="1"/>
          <w:numId w:val="12"/>
        </w:numPr>
        <w:spacing w:after="0"/>
      </w:pPr>
      <w:r>
        <w:t xml:space="preserve">We identified </w:t>
      </w:r>
      <w:r w:rsidR="005C37F9">
        <w:t xml:space="preserve">a range of </w:t>
      </w:r>
      <w:r>
        <w:t>strategies that allow for the relaxation of restrictions in the non-vulnerable</w:t>
      </w:r>
      <w:r w:rsidR="005C37F9">
        <w:t xml:space="preserve"> segments of the population, while maintaining or strengthening interventions in the </w:t>
      </w:r>
      <w:proofErr w:type="spellStart"/>
      <w:r w:rsidR="005C37F9">
        <w:t>shielder</w:t>
      </w:r>
      <w:proofErr w:type="spellEnd"/>
      <w:r w:rsidR="005C37F9">
        <w:t xml:space="preserve">/vulnerable segments, this was explored in the context of preventing </w:t>
      </w:r>
      <w:proofErr w:type="gramStart"/>
      <w:r w:rsidR="00C47C9F">
        <w:t>a</w:t>
      </w:r>
      <w:proofErr w:type="gramEnd"/>
      <w:r w:rsidR="00C47C9F">
        <w:t xml:space="preserve"> excessive peak of COVID-19 prevalence</w:t>
      </w:r>
      <w:r w:rsidR="005C37F9">
        <w:t xml:space="preserve"> in any</w:t>
      </w:r>
      <w:r w:rsidR="00C47C9F">
        <w:t xml:space="preserve"> of the</w:t>
      </w:r>
      <w:r w:rsidR="005C37F9">
        <w:t xml:space="preserve"> population segment</w:t>
      </w:r>
      <w:r w:rsidR="00C47C9F">
        <w:t>s</w:t>
      </w:r>
      <w:r w:rsidR="005C37F9">
        <w:t xml:space="preserve">.   </w:t>
      </w:r>
    </w:p>
    <w:p w14:paraId="4043F85F" w14:textId="4D124256" w:rsidR="00577F11" w:rsidRDefault="00577F11" w:rsidP="00577F11">
      <w:pPr>
        <w:pStyle w:val="ListParagraph"/>
        <w:numPr>
          <w:ilvl w:val="1"/>
          <w:numId w:val="12"/>
        </w:numPr>
        <w:spacing w:after="0"/>
      </w:pPr>
      <w:r>
        <w:t xml:space="preserve">Epigroup formalised this work in April/May 2020 and a manuscript was </w:t>
      </w:r>
      <w:r w:rsidR="0061412F">
        <w:t>accepted (awaiting publication) in t</w:t>
      </w:r>
      <w:r>
        <w:t xml:space="preserve">he “Modelling evidence supporting the COVID-19 response in the UK” issue of the </w:t>
      </w:r>
      <w:r w:rsidRPr="00577F11">
        <w:rPr>
          <w:i/>
          <w:iCs/>
        </w:rPr>
        <w:t>Philosophical Transactions of the Royal Society B</w:t>
      </w:r>
      <w:r>
        <w:t>.</w:t>
      </w:r>
    </w:p>
    <w:p w14:paraId="61F754A4" w14:textId="77777777" w:rsidR="00201278" w:rsidRPr="00201278" w:rsidRDefault="00201278" w:rsidP="00201278">
      <w:pPr>
        <w:spacing w:after="0"/>
      </w:pPr>
    </w:p>
    <w:p w14:paraId="176907C6" w14:textId="415EABF9" w:rsidR="00646DAC" w:rsidRPr="005C37F9" w:rsidRDefault="00201278" w:rsidP="00201278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 w:rsidRPr="005C37F9">
        <w:rPr>
          <w:b/>
          <w:bCs/>
        </w:rPr>
        <w:t xml:space="preserve">Optimising time-limited non-pharmaceutical interventions for COVID-19 outbreak control </w:t>
      </w:r>
      <w:r w:rsidR="004D621E" w:rsidRPr="005C37F9">
        <w:rPr>
          <w:b/>
          <w:bCs/>
        </w:rPr>
        <w:t>(</w:t>
      </w:r>
      <w:r w:rsidR="00383358" w:rsidRPr="005C37F9">
        <w:rPr>
          <w:b/>
          <w:bCs/>
        </w:rPr>
        <w:t>27/02/20 – 09/03/20, 12/06/20 - 29/08/20</w:t>
      </w:r>
      <w:r w:rsidR="004D621E" w:rsidRPr="005C37F9">
        <w:rPr>
          <w:b/>
          <w:bCs/>
        </w:rPr>
        <w:t>)</w:t>
      </w:r>
    </w:p>
    <w:p w14:paraId="67F83942" w14:textId="25D567AF" w:rsidR="00201278" w:rsidRDefault="00D74F1F" w:rsidP="00201278">
      <w:pPr>
        <w:pStyle w:val="ListParagraph"/>
        <w:numPr>
          <w:ilvl w:val="1"/>
          <w:numId w:val="12"/>
        </w:numPr>
        <w:spacing w:after="0"/>
      </w:pPr>
      <w:proofErr w:type="gramStart"/>
      <w:r>
        <w:t>A</w:t>
      </w:r>
      <w:proofErr w:type="gramEnd"/>
      <w:r>
        <w:t xml:space="preserve"> SIR mathematical model was used </w:t>
      </w:r>
      <w:r w:rsidR="00FA4435">
        <w:t xml:space="preserve">to explore the feasibility of optimising five time-limited non-pharmaceutical intervention scenarios to minimise the peak prevalence and the attack rate of a </w:t>
      </w:r>
      <w:r w:rsidR="00577F11">
        <w:t xml:space="preserve">simulated </w:t>
      </w:r>
      <w:r w:rsidR="00FA4435">
        <w:t xml:space="preserve">COVID-19 outbreak. </w:t>
      </w:r>
    </w:p>
    <w:p w14:paraId="0B78A462" w14:textId="1E03723C" w:rsidR="00FA4435" w:rsidRDefault="00FA4435" w:rsidP="00201278">
      <w:pPr>
        <w:pStyle w:val="ListParagraph"/>
        <w:numPr>
          <w:ilvl w:val="1"/>
          <w:numId w:val="12"/>
        </w:numPr>
        <w:spacing w:after="0"/>
      </w:pPr>
      <w:r>
        <w:t>Optimised NPI interventions were found to be highly effective at minimising the human health outcomes of COVID-</w:t>
      </w:r>
      <w:proofErr w:type="gramStart"/>
      <w:r>
        <w:t>19, but</w:t>
      </w:r>
      <w:proofErr w:type="gramEnd"/>
      <w:r>
        <w:t xml:space="preserve"> were found to be</w:t>
      </w:r>
      <w:r w:rsidR="00577F11">
        <w:t xml:space="preserve"> fragile and</w:t>
      </w:r>
      <w:r>
        <w:t xml:space="preserve"> very sensitive to implementation error. </w:t>
      </w:r>
    </w:p>
    <w:p w14:paraId="43BA736F" w14:textId="05422518" w:rsidR="00FA4435" w:rsidRDefault="00FA4435" w:rsidP="00201278">
      <w:pPr>
        <w:pStyle w:val="ListParagraph"/>
        <w:numPr>
          <w:ilvl w:val="1"/>
          <w:numId w:val="12"/>
        </w:numPr>
        <w:spacing w:after="0"/>
      </w:pPr>
      <w:r>
        <w:t xml:space="preserve">We identified the use of less-effective, but more robust “sub-optimal” NPIs, which </w:t>
      </w:r>
      <w:proofErr w:type="gramStart"/>
      <w:r>
        <w:t xml:space="preserve">are  </w:t>
      </w:r>
      <w:r w:rsidR="00577F11">
        <w:t>able</w:t>
      </w:r>
      <w:proofErr w:type="gramEnd"/>
      <w:r w:rsidR="00577F11">
        <w:t xml:space="preserve"> to reduce peak prevalence and attack rate over a wider, more achievable parameter space.</w:t>
      </w:r>
    </w:p>
    <w:p w14:paraId="5595AD29" w14:textId="4B2139F5" w:rsidR="00577F11" w:rsidRDefault="00577F11" w:rsidP="00201278">
      <w:pPr>
        <w:pStyle w:val="ListParagraph"/>
        <w:numPr>
          <w:ilvl w:val="1"/>
          <w:numId w:val="12"/>
        </w:numPr>
        <w:spacing w:after="0"/>
      </w:pPr>
      <w:r>
        <w:t xml:space="preserve">This work provided an illustrative example of the concept of NPI optimisation across a wide range of different NPI scenarios. </w:t>
      </w:r>
    </w:p>
    <w:p w14:paraId="3CB971B8" w14:textId="06F76FBB" w:rsidR="00577F11" w:rsidRDefault="00577F11" w:rsidP="00577F11">
      <w:pPr>
        <w:pStyle w:val="ListParagraph"/>
        <w:numPr>
          <w:ilvl w:val="1"/>
          <w:numId w:val="12"/>
        </w:numPr>
        <w:spacing w:after="0"/>
      </w:pPr>
      <w:r>
        <w:t>This work was done on a</w:t>
      </w:r>
      <w:r w:rsidR="00D74F1F">
        <w:t>n</w:t>
      </w:r>
      <w:r>
        <w:t xml:space="preserve"> ad-hoc basis in March during the initial stages of the UK COVID-19 outbreak for SPI-M and was later sent to SAGE.</w:t>
      </w:r>
    </w:p>
    <w:p w14:paraId="5C49E348" w14:textId="3B05F225" w:rsidR="00486FB2" w:rsidRDefault="00577F11" w:rsidP="00486FB2">
      <w:pPr>
        <w:pStyle w:val="ListParagraph"/>
        <w:numPr>
          <w:ilvl w:val="1"/>
          <w:numId w:val="12"/>
        </w:numPr>
        <w:spacing w:after="0"/>
      </w:pPr>
      <w:r>
        <w:t>Epigroup formalised this work in July/August 2020 and a manuscript was submitted</w:t>
      </w:r>
      <w:r w:rsidR="0061412F">
        <w:t xml:space="preserve"> (under review)</w:t>
      </w:r>
      <w:r>
        <w:t xml:space="preserve"> to the “Modelling evidence supporting the COVID-19 response in the UK” issue of the </w:t>
      </w:r>
      <w:r w:rsidRPr="00577F11">
        <w:rPr>
          <w:i/>
          <w:iCs/>
        </w:rPr>
        <w:t>Philosophical Transactions of the Royal Society B</w:t>
      </w:r>
      <w:r>
        <w:t>.</w:t>
      </w:r>
    </w:p>
    <w:p w14:paraId="6E275A71" w14:textId="77777777" w:rsidR="00486FB2" w:rsidRPr="00201278" w:rsidRDefault="00486FB2" w:rsidP="00486FB2">
      <w:pPr>
        <w:spacing w:after="0"/>
      </w:pPr>
    </w:p>
    <w:p w14:paraId="0C58E20C" w14:textId="5ACB66FD" w:rsidR="00D8664C" w:rsidRDefault="008228B9" w:rsidP="007F7CC8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Later Modelling Requests</w:t>
      </w:r>
    </w:p>
    <w:p w14:paraId="5B70732D" w14:textId="29E8D412" w:rsidR="007D72FA" w:rsidRDefault="007D72FA" w:rsidP="007F7CC8">
      <w:pPr>
        <w:spacing w:after="0" w:line="240" w:lineRule="auto"/>
      </w:pPr>
    </w:p>
    <w:p w14:paraId="3B689C4F" w14:textId="016BCF99" w:rsidR="00516034" w:rsidRPr="007F7CC8" w:rsidRDefault="000A3B77" w:rsidP="007F7CC8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</w:rPr>
      </w:pPr>
      <w:r>
        <w:rPr>
          <w:b/>
          <w:bCs/>
        </w:rPr>
        <w:t>Trigger day timing of non-pharmaceutical intervention timing and the impact on COVID-19 transmission dynamics</w:t>
      </w:r>
      <w:r w:rsidR="008E221D" w:rsidRPr="007F7CC8">
        <w:rPr>
          <w:b/>
          <w:bCs/>
        </w:rPr>
        <w:t xml:space="preserve"> </w:t>
      </w:r>
      <w:r w:rsidR="004D621E" w:rsidRPr="007F7CC8">
        <w:rPr>
          <w:b/>
          <w:bCs/>
        </w:rPr>
        <w:t>(</w:t>
      </w:r>
      <w:r w:rsidR="008228B9" w:rsidRPr="007F7CC8">
        <w:rPr>
          <w:b/>
          <w:bCs/>
        </w:rPr>
        <w:t>22/06/20 – 24/06/20</w:t>
      </w:r>
      <w:r w:rsidR="004D621E" w:rsidRPr="007F7CC8">
        <w:rPr>
          <w:b/>
          <w:bCs/>
        </w:rPr>
        <w:t>)</w:t>
      </w:r>
      <w:r>
        <w:rPr>
          <w:b/>
          <w:bCs/>
        </w:rPr>
        <w:t>.</w:t>
      </w:r>
    </w:p>
    <w:p w14:paraId="522B11AC" w14:textId="459815DB" w:rsidR="000A3B77" w:rsidRDefault="000A3B77" w:rsidP="007F7CC8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Used </w:t>
      </w:r>
      <w:proofErr w:type="gramStart"/>
      <w:r>
        <w:t>a</w:t>
      </w:r>
      <w:proofErr w:type="gramEnd"/>
      <w:r>
        <w:t xml:space="preserve"> SIR model to modify the timing of a </w:t>
      </w:r>
      <w:r w:rsidR="00D74F1F">
        <w:t>NPI introduction</w:t>
      </w:r>
      <w:r>
        <w:t xml:space="preserve"> by </w:t>
      </w:r>
      <w:r>
        <w:rPr>
          <w:rFonts w:cstheme="minorHAnsi"/>
        </w:rPr>
        <w:t>±</w:t>
      </w:r>
      <w:r>
        <w:t>7 days to identify the effect on the size of the resulting COVID-19 epidemic curve.</w:t>
      </w:r>
    </w:p>
    <w:p w14:paraId="33866C15" w14:textId="768B5C6E" w:rsidR="000A3B77" w:rsidRDefault="000A3B77" w:rsidP="007F7CC8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The impact of even a small delay in the introduction of an intervention has profound implications, with a large increase in the epidemic peak. </w:t>
      </w:r>
    </w:p>
    <w:p w14:paraId="35332786" w14:textId="54A6302E" w:rsidR="007F7CC8" w:rsidRDefault="00522847" w:rsidP="007F7CC8">
      <w:pPr>
        <w:pStyle w:val="ListParagraph"/>
        <w:numPr>
          <w:ilvl w:val="1"/>
          <w:numId w:val="10"/>
        </w:numPr>
        <w:spacing w:after="0" w:line="240" w:lineRule="auto"/>
      </w:pPr>
      <w:r>
        <w:t>Analysis c</w:t>
      </w:r>
      <w:r w:rsidR="007F7CC8">
        <w:t xml:space="preserve">arried out in preparation for Epigroup representation at the UK Parliament Select Committee. </w:t>
      </w:r>
    </w:p>
    <w:p w14:paraId="7AFF2EF9" w14:textId="77777777" w:rsidR="007F7CC8" w:rsidRDefault="007F7CC8" w:rsidP="007F7CC8">
      <w:pPr>
        <w:spacing w:after="0" w:line="240" w:lineRule="auto"/>
      </w:pPr>
    </w:p>
    <w:p w14:paraId="0CA9DF52" w14:textId="31AB1073" w:rsidR="00D8664C" w:rsidRPr="007F7CC8" w:rsidRDefault="000A4160" w:rsidP="007F7CC8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</w:rPr>
      </w:pPr>
      <w:r>
        <w:rPr>
          <w:b/>
          <w:bCs/>
        </w:rPr>
        <w:t>Effect of the importation of cases on Scottish COVID-19 transmission dynamics</w:t>
      </w:r>
      <w:r w:rsidR="00D8664C" w:rsidRPr="007F7CC8">
        <w:rPr>
          <w:b/>
          <w:bCs/>
        </w:rPr>
        <w:t xml:space="preserve"> </w:t>
      </w:r>
      <w:r w:rsidR="004D621E" w:rsidRPr="007F7CC8">
        <w:rPr>
          <w:b/>
          <w:bCs/>
        </w:rPr>
        <w:t>(</w:t>
      </w:r>
      <w:r w:rsidR="008228B9" w:rsidRPr="007F7CC8">
        <w:rPr>
          <w:b/>
          <w:bCs/>
        </w:rPr>
        <w:t>18/09/20</w:t>
      </w:r>
      <w:r w:rsidR="004D621E" w:rsidRPr="007F7CC8">
        <w:rPr>
          <w:b/>
          <w:bCs/>
        </w:rPr>
        <w:t>)</w:t>
      </w:r>
    </w:p>
    <w:p w14:paraId="476AD625" w14:textId="05921B35" w:rsidR="000A4160" w:rsidRDefault="000A3B77" w:rsidP="007F7CC8">
      <w:pPr>
        <w:pStyle w:val="ListParagraph"/>
        <w:numPr>
          <w:ilvl w:val="1"/>
          <w:numId w:val="9"/>
        </w:numPr>
        <w:spacing w:after="0" w:line="240" w:lineRule="auto"/>
      </w:pPr>
      <w:r>
        <w:t xml:space="preserve">Explored the </w:t>
      </w:r>
      <w:r w:rsidR="000A4160">
        <w:t xml:space="preserve">impact of the importation of cases into Scotland (5 or 25 cases per day) using a basic SIR mathematical model. </w:t>
      </w:r>
    </w:p>
    <w:p w14:paraId="3EFB4EF8" w14:textId="512A669E" w:rsidR="000A3B77" w:rsidRDefault="000A4160" w:rsidP="007F7CC8">
      <w:pPr>
        <w:pStyle w:val="ListParagraph"/>
        <w:numPr>
          <w:ilvl w:val="1"/>
          <w:numId w:val="9"/>
        </w:numPr>
        <w:spacing w:after="0" w:line="240" w:lineRule="auto"/>
      </w:pPr>
      <w:r>
        <w:lastRenderedPageBreak/>
        <w:t>The impact of importation was explored in the context of varying the magnitude of local transmission (R</w:t>
      </w:r>
      <w:r w:rsidRPr="000A4160">
        <w:rPr>
          <w:vertAlign w:val="subscript"/>
        </w:rPr>
        <w:t>0</w:t>
      </w:r>
      <w:r>
        <w:t xml:space="preserve">). </w:t>
      </w:r>
    </w:p>
    <w:p w14:paraId="03A7B02B" w14:textId="48B14D65" w:rsidR="000A4160" w:rsidRDefault="000A4160" w:rsidP="000A4160">
      <w:pPr>
        <w:pStyle w:val="ListParagraph"/>
        <w:numPr>
          <w:ilvl w:val="1"/>
          <w:numId w:val="9"/>
        </w:numPr>
        <w:spacing w:after="0" w:line="240" w:lineRule="auto"/>
      </w:pPr>
      <w:r>
        <w:t>We identified the number of COVID-19 cases attributable to importation compared to a baseline without importation.</w:t>
      </w:r>
    </w:p>
    <w:p w14:paraId="54F2F441" w14:textId="68D1051E" w:rsidR="000A4160" w:rsidRDefault="000A4160" w:rsidP="000A4160">
      <w:pPr>
        <w:pStyle w:val="ListParagraph"/>
        <w:numPr>
          <w:ilvl w:val="1"/>
          <w:numId w:val="9"/>
        </w:numPr>
        <w:spacing w:after="0" w:line="240" w:lineRule="auto"/>
      </w:pPr>
      <w:r>
        <w:t xml:space="preserve">The highest number of cases attributable to importation was identified where local transmission was lower and the number of imported cases was higher. </w:t>
      </w:r>
    </w:p>
    <w:p w14:paraId="66BE219A" w14:textId="3B87B1FD" w:rsidR="007F7CC8" w:rsidRDefault="00522847" w:rsidP="007F7CC8">
      <w:pPr>
        <w:pStyle w:val="ListParagraph"/>
        <w:numPr>
          <w:ilvl w:val="1"/>
          <w:numId w:val="9"/>
        </w:numPr>
        <w:spacing w:after="0" w:line="240" w:lineRule="auto"/>
      </w:pPr>
      <w:r>
        <w:t>Analysis c</w:t>
      </w:r>
      <w:r w:rsidR="007F7CC8">
        <w:t xml:space="preserve">arried out for the Scottish Government COVID-19 Advisory Group. </w:t>
      </w:r>
    </w:p>
    <w:p w14:paraId="283DE905" w14:textId="77777777" w:rsidR="007F7CC8" w:rsidRDefault="007F7CC8" w:rsidP="007F7CC8">
      <w:pPr>
        <w:spacing w:after="0" w:line="240" w:lineRule="auto"/>
      </w:pPr>
    </w:p>
    <w:p w14:paraId="0492AC45" w14:textId="046ADAE3" w:rsidR="007F7CC8" w:rsidRDefault="000F16E8" w:rsidP="007F7CC8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Modelling the impact of non-pharmaceutical interventions to reverse the growth in COVID-19 incidence </w:t>
      </w:r>
      <w:r w:rsidR="00201278">
        <w:rPr>
          <w:b/>
          <w:bCs/>
        </w:rPr>
        <w:t>in Scotland.</w:t>
      </w:r>
      <w:r w:rsidR="00063F80">
        <w:rPr>
          <w:b/>
          <w:bCs/>
        </w:rPr>
        <w:t xml:space="preserve"> (01/10/20 – 05/10/20)</w:t>
      </w:r>
    </w:p>
    <w:p w14:paraId="20A6562C" w14:textId="570DA19A" w:rsidR="000F16E8" w:rsidRDefault="000F16E8" w:rsidP="007F7CC8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Used </w:t>
      </w:r>
      <w:proofErr w:type="gramStart"/>
      <w:r>
        <w:t>a</w:t>
      </w:r>
      <w:proofErr w:type="gramEnd"/>
      <w:r>
        <w:t xml:space="preserve"> SIR model to </w:t>
      </w:r>
      <w:r w:rsidR="00D74F1F">
        <w:t>explore</w:t>
      </w:r>
      <w:r>
        <w:t xml:space="preserve"> the time taken for modelled NPIs to reverse the increase in COVID-19 incidence</w:t>
      </w:r>
      <w:r w:rsidR="00C36A24">
        <w:t xml:space="preserve"> back</w:t>
      </w:r>
      <w:r>
        <w:t xml:space="preserve"> </w:t>
      </w:r>
      <w:r w:rsidR="00C36A24">
        <w:t xml:space="preserve">towards a threshold of </w:t>
      </w:r>
      <w:r>
        <w:t>150 cases/day</w:t>
      </w:r>
      <w:r w:rsidR="00C36A24">
        <w:t>.</w:t>
      </w:r>
    </w:p>
    <w:p w14:paraId="1F6171BC" w14:textId="111DF3B0" w:rsidR="00C36A24" w:rsidRDefault="00C36A24" w:rsidP="00C36A24">
      <w:pPr>
        <w:pStyle w:val="ListParagraph"/>
        <w:numPr>
          <w:ilvl w:val="1"/>
          <w:numId w:val="8"/>
        </w:numPr>
        <w:spacing w:after="0" w:line="240" w:lineRule="auto"/>
      </w:pPr>
      <w:r>
        <w:t>We identified that a stronger and earlier introduction of NPIs reduces the time needed to return COVID-19 incidence below the 150 cases/day threshold and reduce the overall number of deaths and cases during the outbreak.</w:t>
      </w:r>
    </w:p>
    <w:p w14:paraId="175A2119" w14:textId="2BA7BC72" w:rsidR="00E85807" w:rsidRDefault="00C36A24" w:rsidP="00C36A24">
      <w:pPr>
        <w:pStyle w:val="ListParagraph"/>
        <w:numPr>
          <w:ilvl w:val="1"/>
          <w:numId w:val="8"/>
        </w:numPr>
        <w:spacing w:after="0" w:line="240" w:lineRule="auto"/>
      </w:pPr>
      <w:r>
        <w:t>This was explored in the context of a second Scottish COVID-19 epidemic wave.</w:t>
      </w:r>
    </w:p>
    <w:p w14:paraId="108B7E36" w14:textId="7F4275C0" w:rsidR="008E221D" w:rsidRDefault="00522847" w:rsidP="008E221D">
      <w:pPr>
        <w:pStyle w:val="ListParagraph"/>
        <w:numPr>
          <w:ilvl w:val="1"/>
          <w:numId w:val="8"/>
        </w:numPr>
        <w:spacing w:after="0" w:line="240" w:lineRule="auto"/>
      </w:pPr>
      <w:r>
        <w:t>Analysis c</w:t>
      </w:r>
      <w:r w:rsidR="007F7CC8">
        <w:t xml:space="preserve">arried out for the Scottish Government COVID-19 Advisory Group. </w:t>
      </w:r>
    </w:p>
    <w:p w14:paraId="422EF73A" w14:textId="77777777" w:rsidR="0061412F" w:rsidRDefault="0061412F" w:rsidP="0061412F">
      <w:pPr>
        <w:pStyle w:val="Default"/>
      </w:pPr>
    </w:p>
    <w:p w14:paraId="3EEFCCAA" w14:textId="1C914A44" w:rsidR="008E221D" w:rsidRPr="0061412F" w:rsidRDefault="0061412F" w:rsidP="0061412F">
      <w:pPr>
        <w:pStyle w:val="ListParagraph"/>
        <w:numPr>
          <w:ilvl w:val="0"/>
          <w:numId w:val="8"/>
        </w:numPr>
      </w:pPr>
      <w:r w:rsidRPr="0061412F">
        <w:rPr>
          <w:b/>
          <w:bCs/>
        </w:rPr>
        <w:t>Illustrative model-based analysis of vaccination and release strategies (Scotland)</w:t>
      </w:r>
      <w:r>
        <w:rPr>
          <w:b/>
          <w:bCs/>
        </w:rPr>
        <w:t xml:space="preserve"> (26/12/20 – 05/01/21)</w:t>
      </w:r>
    </w:p>
    <w:p w14:paraId="6A01689E" w14:textId="087FFEFF" w:rsidR="00F16482" w:rsidRDefault="0061412F" w:rsidP="0061412F">
      <w:pPr>
        <w:pStyle w:val="ListParagraph"/>
        <w:numPr>
          <w:ilvl w:val="1"/>
          <w:numId w:val="8"/>
        </w:numPr>
      </w:pPr>
      <w:r w:rsidRPr="0059596D">
        <w:t xml:space="preserve">Used </w:t>
      </w:r>
      <w:r w:rsidR="0059596D">
        <w:t xml:space="preserve">a SIRV model to </w:t>
      </w:r>
      <w:r w:rsidR="00F16482">
        <w:t>explore different scenarios for</w:t>
      </w:r>
      <w:r w:rsidR="00E41BD3">
        <w:t xml:space="preserve"> the</w:t>
      </w:r>
      <w:r w:rsidR="00F16482">
        <w:t xml:space="preserve"> phased removal of NPI restrictions as vaccination is rolled out. </w:t>
      </w:r>
    </w:p>
    <w:p w14:paraId="07EB605E" w14:textId="65C2BE59" w:rsidR="00F16482" w:rsidRDefault="00F16482" w:rsidP="00F16482">
      <w:pPr>
        <w:pStyle w:val="ListParagraph"/>
        <w:numPr>
          <w:ilvl w:val="1"/>
          <w:numId w:val="8"/>
        </w:numPr>
      </w:pPr>
      <w:r>
        <w:t xml:space="preserve">The SIRV model stratified infected individuals based on vaccination status and with three subpopulations being modelled to represent different vaccination priority groups. </w:t>
      </w:r>
    </w:p>
    <w:p w14:paraId="7B0D520B" w14:textId="73D50A54" w:rsidR="00DD329A" w:rsidRDefault="00DD329A" w:rsidP="00DD329A">
      <w:pPr>
        <w:pStyle w:val="ListParagraph"/>
        <w:numPr>
          <w:ilvl w:val="1"/>
          <w:numId w:val="8"/>
        </w:numPr>
      </w:pPr>
      <w:r>
        <w:t>This analysis was parameterised for a Scottish population at the beginning of the UK vaccination campaign (November 2020).</w:t>
      </w:r>
    </w:p>
    <w:p w14:paraId="0D461F51" w14:textId="38ADA3C8" w:rsidR="00E41BD3" w:rsidRDefault="00E41BD3" w:rsidP="00F16482">
      <w:pPr>
        <w:pStyle w:val="ListParagraph"/>
        <w:numPr>
          <w:ilvl w:val="1"/>
          <w:numId w:val="8"/>
        </w:numPr>
      </w:pPr>
      <w:r>
        <w:t>Sensitivity analyses were conducted exploring the senstivity of the model results to alterations to vaccine efficacy, coverage, presence of waning immunity (natural/vaccine-induced), reduced mixing etc.</w:t>
      </w:r>
    </w:p>
    <w:p w14:paraId="22B261C0" w14:textId="676D28A6" w:rsidR="00F16482" w:rsidRDefault="00F16482" w:rsidP="00F16482">
      <w:pPr>
        <w:pStyle w:val="ListParagraph"/>
        <w:numPr>
          <w:ilvl w:val="1"/>
          <w:numId w:val="8"/>
        </w:numPr>
      </w:pPr>
      <w:r>
        <w:t>Release of restrictions for the entire population immediately after the vaccination of the highest priority groups resulted in a major</w:t>
      </w:r>
      <w:r w:rsidR="00DD329A">
        <w:t xml:space="preserve"> resurgent</w:t>
      </w:r>
      <w:r>
        <w:t xml:space="preserve"> epidemic</w:t>
      </w:r>
      <w:r w:rsidR="00E41BD3">
        <w:t xml:space="preserve"> across the majority of explored senstivity analyses.</w:t>
      </w:r>
    </w:p>
    <w:p w14:paraId="3FC59D72" w14:textId="5199D377" w:rsidR="00E41BD3" w:rsidRDefault="00E41BD3" w:rsidP="00F16482">
      <w:pPr>
        <w:pStyle w:val="ListParagraph"/>
        <w:numPr>
          <w:ilvl w:val="1"/>
          <w:numId w:val="8"/>
        </w:numPr>
      </w:pPr>
      <w:r>
        <w:t xml:space="preserve">A phased release of NPIs (release of NPIs following the vaccination of the respective </w:t>
      </w:r>
      <w:r w:rsidR="00DD329A">
        <w:t xml:space="preserve">priority </w:t>
      </w:r>
      <w:r>
        <w:t>group)</w:t>
      </w:r>
      <w:r w:rsidR="00DD329A">
        <w:t xml:space="preserve"> and</w:t>
      </w:r>
      <w:r>
        <w:t xml:space="preserve"> full release after vaccination of the medium priority vaccination group did not result in a resurgent epidemic across the majority of senstivity analyses.</w:t>
      </w:r>
    </w:p>
    <w:p w14:paraId="22D6600C" w14:textId="15525732" w:rsidR="00E41BD3" w:rsidRDefault="00E41BD3" w:rsidP="00F16482">
      <w:pPr>
        <w:pStyle w:val="ListParagraph"/>
        <w:numPr>
          <w:ilvl w:val="1"/>
          <w:numId w:val="8"/>
        </w:numPr>
      </w:pPr>
      <w:r>
        <w:t xml:space="preserve">Low vaccine coverage, efficacy and the presence of waning vaccine-induced immunity compromises the efficacy of NPI release strategies resulting in large resurgent epidemics following NPI release.  </w:t>
      </w:r>
    </w:p>
    <w:p w14:paraId="51D89203" w14:textId="2ABDB175" w:rsidR="00E41BD3" w:rsidRPr="0059596D" w:rsidRDefault="00E41BD3" w:rsidP="00E41BD3">
      <w:pPr>
        <w:pStyle w:val="ListParagraph"/>
        <w:numPr>
          <w:ilvl w:val="1"/>
          <w:numId w:val="8"/>
        </w:numPr>
      </w:pPr>
      <w:r>
        <w:t>Analysis carried out for SPI-M.</w:t>
      </w:r>
    </w:p>
    <w:sectPr w:rsidR="00E41BD3" w:rsidRPr="00595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379E"/>
    <w:multiLevelType w:val="hybridMultilevel"/>
    <w:tmpl w:val="EAC89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644A5"/>
    <w:multiLevelType w:val="hybridMultilevel"/>
    <w:tmpl w:val="F398A1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A00F0"/>
    <w:multiLevelType w:val="hybridMultilevel"/>
    <w:tmpl w:val="330A8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40C5A"/>
    <w:multiLevelType w:val="hybridMultilevel"/>
    <w:tmpl w:val="00843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C5D12"/>
    <w:multiLevelType w:val="hybridMultilevel"/>
    <w:tmpl w:val="A7AAB8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72093C"/>
    <w:multiLevelType w:val="hybridMultilevel"/>
    <w:tmpl w:val="F32C6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1374C"/>
    <w:multiLevelType w:val="hybridMultilevel"/>
    <w:tmpl w:val="541C402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238B6"/>
    <w:multiLevelType w:val="hybridMultilevel"/>
    <w:tmpl w:val="CE7E7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201665"/>
    <w:multiLevelType w:val="hybridMultilevel"/>
    <w:tmpl w:val="897E2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270B7"/>
    <w:multiLevelType w:val="hybridMultilevel"/>
    <w:tmpl w:val="CDC8E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60CA6"/>
    <w:multiLevelType w:val="hybridMultilevel"/>
    <w:tmpl w:val="D5BC2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65385"/>
    <w:multiLevelType w:val="hybridMultilevel"/>
    <w:tmpl w:val="A8009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973331">
    <w:abstractNumId w:val="3"/>
  </w:num>
  <w:num w:numId="2" w16cid:durableId="2031908535">
    <w:abstractNumId w:val="10"/>
  </w:num>
  <w:num w:numId="3" w16cid:durableId="288903954">
    <w:abstractNumId w:val="7"/>
  </w:num>
  <w:num w:numId="4" w16cid:durableId="624042462">
    <w:abstractNumId w:val="11"/>
  </w:num>
  <w:num w:numId="5" w16cid:durableId="1716730442">
    <w:abstractNumId w:val="9"/>
  </w:num>
  <w:num w:numId="6" w16cid:durableId="48699831">
    <w:abstractNumId w:val="6"/>
  </w:num>
  <w:num w:numId="7" w16cid:durableId="1663042892">
    <w:abstractNumId w:val="4"/>
  </w:num>
  <w:num w:numId="8" w16cid:durableId="1673681425">
    <w:abstractNumId w:val="1"/>
  </w:num>
  <w:num w:numId="9" w16cid:durableId="724766782">
    <w:abstractNumId w:val="8"/>
  </w:num>
  <w:num w:numId="10" w16cid:durableId="788165556">
    <w:abstractNumId w:val="0"/>
  </w:num>
  <w:num w:numId="11" w16cid:durableId="537817792">
    <w:abstractNumId w:val="5"/>
  </w:num>
  <w:num w:numId="12" w16cid:durableId="1617834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430"/>
    <w:rsid w:val="000039B2"/>
    <w:rsid w:val="000201EE"/>
    <w:rsid w:val="00063F80"/>
    <w:rsid w:val="000A3B77"/>
    <w:rsid w:val="000A4160"/>
    <w:rsid w:val="000F16E8"/>
    <w:rsid w:val="001C2DDA"/>
    <w:rsid w:val="001C4696"/>
    <w:rsid w:val="001F3D54"/>
    <w:rsid w:val="00201278"/>
    <w:rsid w:val="0020656B"/>
    <w:rsid w:val="00211BD8"/>
    <w:rsid w:val="00212482"/>
    <w:rsid w:val="00290D44"/>
    <w:rsid w:val="002C7A3A"/>
    <w:rsid w:val="00307795"/>
    <w:rsid w:val="00383358"/>
    <w:rsid w:val="00393BF4"/>
    <w:rsid w:val="003F6928"/>
    <w:rsid w:val="00486FB2"/>
    <w:rsid w:val="004D621E"/>
    <w:rsid w:val="004E040B"/>
    <w:rsid w:val="00516034"/>
    <w:rsid w:val="00522847"/>
    <w:rsid w:val="00577F11"/>
    <w:rsid w:val="0059596D"/>
    <w:rsid w:val="005C37F9"/>
    <w:rsid w:val="005F0A81"/>
    <w:rsid w:val="0061412F"/>
    <w:rsid w:val="00646DAC"/>
    <w:rsid w:val="006A7586"/>
    <w:rsid w:val="006F756E"/>
    <w:rsid w:val="00707A32"/>
    <w:rsid w:val="007D72FA"/>
    <w:rsid w:val="007F7CC8"/>
    <w:rsid w:val="008228B9"/>
    <w:rsid w:val="008E221D"/>
    <w:rsid w:val="00917DD2"/>
    <w:rsid w:val="00925D10"/>
    <w:rsid w:val="009421D2"/>
    <w:rsid w:val="00944430"/>
    <w:rsid w:val="009F46DF"/>
    <w:rsid w:val="00A75AF1"/>
    <w:rsid w:val="00AC34CA"/>
    <w:rsid w:val="00B476D9"/>
    <w:rsid w:val="00B53016"/>
    <w:rsid w:val="00BC05D5"/>
    <w:rsid w:val="00C21F9E"/>
    <w:rsid w:val="00C33A0E"/>
    <w:rsid w:val="00C36A24"/>
    <w:rsid w:val="00C37572"/>
    <w:rsid w:val="00C47C9F"/>
    <w:rsid w:val="00C7693A"/>
    <w:rsid w:val="00C93412"/>
    <w:rsid w:val="00D74F1F"/>
    <w:rsid w:val="00D8664C"/>
    <w:rsid w:val="00DD329A"/>
    <w:rsid w:val="00DE0D22"/>
    <w:rsid w:val="00E15D21"/>
    <w:rsid w:val="00E41BD3"/>
    <w:rsid w:val="00E85807"/>
    <w:rsid w:val="00EE51BA"/>
    <w:rsid w:val="00F16482"/>
    <w:rsid w:val="00F70381"/>
    <w:rsid w:val="00F95C4E"/>
    <w:rsid w:val="00FA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29CA"/>
  <w15:chartTrackingRefBased/>
  <w15:docId w15:val="{B6AF58D1-DCB2-45CC-A846-E8F1741F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6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5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56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11BD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1BD8"/>
    <w:rPr>
      <w:color w:val="605E5C"/>
      <w:shd w:val="clear" w:color="auto" w:fill="E1DFDD"/>
    </w:rPr>
  </w:style>
  <w:style w:type="paragraph" w:customStyle="1" w:styleId="Default">
    <w:name w:val="Default"/>
    <w:rsid w:val="006141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Morgan</dc:creator>
  <cp:keywords/>
  <dc:description/>
  <cp:lastModifiedBy>Morgan  Alexander Liang Kang</cp:lastModifiedBy>
  <cp:revision>2</cp:revision>
  <dcterms:created xsi:type="dcterms:W3CDTF">2022-09-19T15:34:00Z</dcterms:created>
  <dcterms:modified xsi:type="dcterms:W3CDTF">2022-09-19T15:34:00Z</dcterms:modified>
</cp:coreProperties>
</file>