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F35D" w14:textId="77777777" w:rsidR="00585386" w:rsidRPr="00A445ED" w:rsidRDefault="00FB2D88" w:rsidP="006934BE">
      <w:pPr>
        <w:jc w:val="center"/>
        <w:rPr>
          <w:b/>
        </w:rPr>
      </w:pPr>
      <w:r w:rsidRPr="00A445ED">
        <w:rPr>
          <w:b/>
        </w:rPr>
        <w:t>Illustrative model-based analysis of vaccination and release strategies (Scotland)</w:t>
      </w:r>
      <w:r w:rsidR="00B53326">
        <w:rPr>
          <w:b/>
        </w:rPr>
        <w:t xml:space="preserve"> - Update</w:t>
      </w:r>
    </w:p>
    <w:p w14:paraId="5D5F0622" w14:textId="77777777" w:rsidR="00FB2D88" w:rsidRDefault="00FB2D88" w:rsidP="006934BE">
      <w:pPr>
        <w:jc w:val="center"/>
      </w:pPr>
      <w:r>
        <w:t>Mark Woolhouse, Alex Morgan &amp; Bram van Bunnik</w:t>
      </w:r>
    </w:p>
    <w:p w14:paraId="217B2DE8" w14:textId="77777777" w:rsidR="00B53326" w:rsidRDefault="00FB2D88" w:rsidP="006934BE">
      <w:pPr>
        <w:jc w:val="center"/>
      </w:pPr>
      <w:r>
        <w:t>University of Edinburgh</w:t>
      </w:r>
    </w:p>
    <w:p w14:paraId="0D9CD1CF" w14:textId="77777777" w:rsidR="006934BE" w:rsidRDefault="00B53326" w:rsidP="006934BE">
      <w:pPr>
        <w:jc w:val="center"/>
      </w:pPr>
      <w:r>
        <w:t>04/05/21</w:t>
      </w:r>
      <w:r w:rsidR="00FB2D88">
        <w:t xml:space="preserve"> </w:t>
      </w:r>
    </w:p>
    <w:p w14:paraId="5429B256" w14:textId="77777777" w:rsidR="006934BE" w:rsidRPr="006934BE" w:rsidRDefault="00C62B06">
      <w:pPr>
        <w:rPr>
          <w:u w:val="single"/>
        </w:rPr>
      </w:pPr>
      <w:r>
        <w:rPr>
          <w:u w:val="single"/>
        </w:rPr>
        <w:t>Summary</w:t>
      </w:r>
      <w:r w:rsidR="00C14EBE">
        <w:rPr>
          <w:u w:val="single"/>
        </w:rPr>
        <w:t xml:space="preserve"> </w:t>
      </w:r>
    </w:p>
    <w:p w14:paraId="5EAB79A9" w14:textId="77777777" w:rsidR="00324220" w:rsidRDefault="00324220" w:rsidP="004D73ED">
      <w:pPr>
        <w:jc w:val="both"/>
      </w:pPr>
      <w:r>
        <w:t xml:space="preserve">This analysis is an update of the briefing </w:t>
      </w:r>
      <w:r w:rsidR="00A4464B">
        <w:t>report</w:t>
      </w:r>
      <w:r w:rsidRPr="00324220">
        <w:t xml:space="preserve"> ‘Illustrative model-based analysis of vaccination and release strategies (Scotland)’ submitted t</w:t>
      </w:r>
      <w:r>
        <w:t>o SPI-M on 05/01/21. All methods, including model structure are unchanged.</w:t>
      </w:r>
    </w:p>
    <w:p w14:paraId="7367423A" w14:textId="77777777" w:rsidR="00324220" w:rsidRDefault="00324220" w:rsidP="004D73ED">
      <w:pPr>
        <w:spacing w:after="0"/>
        <w:jc w:val="both"/>
      </w:pPr>
      <w:r>
        <w:t xml:space="preserve">The original </w:t>
      </w:r>
      <w:r w:rsidR="00A4464B">
        <w:t>report</w:t>
      </w:r>
      <w:r>
        <w:t xml:space="preserve"> </w:t>
      </w:r>
      <w:r w:rsidR="00A4464B">
        <w:t>drew</w:t>
      </w:r>
      <w:r>
        <w:t xml:space="preserve"> three</w:t>
      </w:r>
      <w:r w:rsidR="00A7189F">
        <w:t xml:space="preserve"> main</w:t>
      </w:r>
      <w:r>
        <w:t xml:space="preserve"> conclusions:</w:t>
      </w:r>
    </w:p>
    <w:p w14:paraId="5B64923F" w14:textId="77777777" w:rsidR="00324220" w:rsidRDefault="00324220" w:rsidP="004D73ED">
      <w:pPr>
        <w:pStyle w:val="ListParagraph"/>
        <w:numPr>
          <w:ilvl w:val="0"/>
          <w:numId w:val="3"/>
        </w:numPr>
        <w:jc w:val="both"/>
      </w:pPr>
      <w:r>
        <w:t>High confidence of a decrease in the incidence of high-risk infections (=those in unvaccinated vulnerab</w:t>
      </w:r>
      <w:r w:rsidR="00A7189F">
        <w:t>le individuals) over the first 9</w:t>
      </w:r>
      <w:r>
        <w:t>0 days</w:t>
      </w:r>
      <w:r w:rsidR="00A7189F">
        <w:t xml:space="preserve"> of 2021</w:t>
      </w:r>
    </w:p>
    <w:p w14:paraId="3C4B595F" w14:textId="77777777" w:rsidR="00324220" w:rsidRDefault="00A7189F" w:rsidP="004D73ED">
      <w:pPr>
        <w:pStyle w:val="ListParagraph"/>
        <w:numPr>
          <w:ilvl w:val="0"/>
          <w:numId w:val="3"/>
        </w:numPr>
        <w:jc w:val="both"/>
      </w:pPr>
      <w:r>
        <w:t>High confidence of a significant surge in high-risk infections following full release of restrictions after the nine JCVI priority groups had been vaccinated</w:t>
      </w:r>
    </w:p>
    <w:p w14:paraId="31B06D3A" w14:textId="77777777" w:rsidR="00A7189F" w:rsidRDefault="00A7189F" w:rsidP="004D73ED">
      <w:pPr>
        <w:pStyle w:val="ListParagraph"/>
        <w:numPr>
          <w:ilvl w:val="0"/>
          <w:numId w:val="3"/>
        </w:numPr>
        <w:jc w:val="both"/>
      </w:pPr>
      <w:r>
        <w:t>Very high uncertainty of epidemic trajectory in the second half of the year</w:t>
      </w:r>
    </w:p>
    <w:p w14:paraId="585B0A22" w14:textId="77777777" w:rsidR="00324220" w:rsidRDefault="00324220" w:rsidP="004D73ED">
      <w:pPr>
        <w:spacing w:after="0"/>
        <w:jc w:val="both"/>
      </w:pPr>
      <w:r>
        <w:t>This update explores the following combination</w:t>
      </w:r>
      <w:r w:rsidR="00A7189F">
        <w:t>s</w:t>
      </w:r>
      <w:r>
        <w:t xml:space="preserve"> of parameter values:</w:t>
      </w:r>
    </w:p>
    <w:p w14:paraId="37A09FCE" w14:textId="3466ECD2" w:rsidR="00324220" w:rsidRDefault="00A7189F" w:rsidP="004D73ED">
      <w:pPr>
        <w:pStyle w:val="ListParagraph"/>
        <w:numPr>
          <w:ilvl w:val="0"/>
          <w:numId w:val="2"/>
        </w:numPr>
        <w:jc w:val="both"/>
      </w:pPr>
      <w:r>
        <w:t xml:space="preserve">95% coverage, noting this is </w:t>
      </w:r>
      <w:r w:rsidR="004D73ED">
        <w:t>above</w:t>
      </w:r>
      <w:r>
        <w:t xml:space="preserve"> the previous range (50-90%)</w:t>
      </w:r>
    </w:p>
    <w:p w14:paraId="281F796E" w14:textId="77777777" w:rsidR="00A7189F" w:rsidRDefault="00A7189F" w:rsidP="004D73ED">
      <w:pPr>
        <w:pStyle w:val="ListParagraph"/>
        <w:numPr>
          <w:ilvl w:val="0"/>
          <w:numId w:val="2"/>
        </w:numPr>
        <w:jc w:val="both"/>
      </w:pPr>
      <w:r>
        <w:t>50% protection against infection (previous range 50-90%)</w:t>
      </w:r>
    </w:p>
    <w:p w14:paraId="5A823166" w14:textId="2EA53BC8" w:rsidR="00A7189F" w:rsidRDefault="00A7189F" w:rsidP="004D73ED">
      <w:pPr>
        <w:pStyle w:val="ListParagraph"/>
        <w:numPr>
          <w:ilvl w:val="0"/>
          <w:numId w:val="2"/>
        </w:numPr>
        <w:jc w:val="both"/>
      </w:pPr>
      <w:r>
        <w:t>50% reduction in onward tran</w:t>
      </w:r>
      <w:r w:rsidR="002536E0">
        <w:t>smission (previous range 50-90%)</w:t>
      </w:r>
    </w:p>
    <w:p w14:paraId="4FADF7FC" w14:textId="75398954" w:rsidR="00A07890" w:rsidRDefault="00C61F72" w:rsidP="004D73ED">
      <w:pPr>
        <w:pStyle w:val="ListParagraph"/>
        <w:numPr>
          <w:ilvl w:val="0"/>
          <w:numId w:val="2"/>
        </w:numPr>
        <w:jc w:val="both"/>
      </w:pPr>
      <w:r>
        <w:t>Roll-out rate assumes two-thirds coverage by June 29</w:t>
      </w:r>
      <w:r w:rsidRPr="00C61F72">
        <w:rPr>
          <w:vertAlign w:val="superscript"/>
        </w:rPr>
        <w:t>th</w:t>
      </w:r>
      <w:r>
        <w:t xml:space="preserve"> (day 180)</w:t>
      </w:r>
    </w:p>
    <w:p w14:paraId="600F67E5" w14:textId="77777777" w:rsidR="00A07890" w:rsidRDefault="00C40BC3" w:rsidP="004D73ED">
      <w:pPr>
        <w:spacing w:after="0"/>
        <w:jc w:val="both"/>
      </w:pPr>
      <w:r>
        <w:t>Key results are:</w:t>
      </w:r>
    </w:p>
    <w:p w14:paraId="4A11A4DE" w14:textId="1B04508D" w:rsidR="00C40BC3" w:rsidRDefault="00C40BC3" w:rsidP="004D73ED">
      <w:pPr>
        <w:pStyle w:val="ListParagraph"/>
        <w:numPr>
          <w:ilvl w:val="0"/>
          <w:numId w:val="2"/>
        </w:numPr>
        <w:jc w:val="both"/>
      </w:pPr>
      <w:r>
        <w:t xml:space="preserve">Confirms that relaxing restrictions </w:t>
      </w:r>
      <w:r w:rsidR="00E12772">
        <w:t xml:space="preserve">immediately </w:t>
      </w:r>
      <w:r>
        <w:t>after</w:t>
      </w:r>
      <w:r w:rsidR="00C7350B">
        <w:t xml:space="preserve"> the</w:t>
      </w:r>
      <w:r>
        <w:t xml:space="preserve"> nine highest priority groups had been vaccinated could have resulted in a major wave</w:t>
      </w:r>
    </w:p>
    <w:p w14:paraId="21EEA8F9" w14:textId="44E00C75" w:rsidR="00C40BC3" w:rsidRDefault="00C40BC3" w:rsidP="004D73ED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E12772">
        <w:t xml:space="preserve">other </w:t>
      </w:r>
      <w:r>
        <w:t>scenario now generates a major wave</w:t>
      </w:r>
      <w:r w:rsidR="00E12772">
        <w:t xml:space="preserve"> within one year</w:t>
      </w:r>
    </w:p>
    <w:p w14:paraId="3CE302F3" w14:textId="6692EA7C" w:rsidR="002536E0" w:rsidRDefault="00C40BC3" w:rsidP="004D73ED">
      <w:pPr>
        <w:pStyle w:val="ListParagraph"/>
        <w:numPr>
          <w:ilvl w:val="0"/>
          <w:numId w:val="2"/>
        </w:numPr>
        <w:jc w:val="both"/>
      </w:pPr>
      <w:r>
        <w:t>A minor wave after full release of restrictions</w:t>
      </w:r>
      <w:r w:rsidR="002536E0">
        <w:t xml:space="preserve"> at day 180</w:t>
      </w:r>
      <w:r>
        <w:t xml:space="preserve"> </w:t>
      </w:r>
      <w:r w:rsidR="004A7EBD">
        <w:t>is not expected if vaccine roll-out continues at current pace</w:t>
      </w:r>
    </w:p>
    <w:p w14:paraId="5BD52781" w14:textId="292A3BB4" w:rsidR="00C40BC3" w:rsidRDefault="004A7EBD" w:rsidP="004D73ED">
      <w:pPr>
        <w:pStyle w:val="ListParagraph"/>
        <w:numPr>
          <w:ilvl w:val="0"/>
          <w:numId w:val="2"/>
        </w:numPr>
        <w:jc w:val="both"/>
      </w:pPr>
      <w:r>
        <w:t>A major wave beginning in the 3</w:t>
      </w:r>
      <w:r w:rsidRPr="004A7EBD">
        <w:rPr>
          <w:vertAlign w:val="superscript"/>
        </w:rPr>
        <w:t>rd</w:t>
      </w:r>
      <w:r>
        <w:t xml:space="preserve"> quarter of 2021 remains possible </w:t>
      </w:r>
      <w:r w:rsidRPr="004A7EBD">
        <w:rPr>
          <w:i/>
        </w:rPr>
        <w:t>if</w:t>
      </w:r>
      <w:r>
        <w:t xml:space="preserve"> vaccine roll-out were </w:t>
      </w:r>
      <w:commentRangeStart w:id="0"/>
      <w:r>
        <w:t>discontinued</w:t>
      </w:r>
      <w:commentRangeEnd w:id="0"/>
      <w:r w:rsidR="002C7D0D">
        <w:rPr>
          <w:rStyle w:val="CommentReference"/>
        </w:rPr>
        <w:commentReference w:id="0"/>
      </w:r>
      <w:r>
        <w:t xml:space="preserve"> (not government policy)</w:t>
      </w:r>
    </w:p>
    <w:p w14:paraId="5173964A" w14:textId="544121A3" w:rsidR="00324220" w:rsidRDefault="00C40BC3" w:rsidP="004D73ED">
      <w:pPr>
        <w:jc w:val="both"/>
      </w:pPr>
      <w:r>
        <w:t xml:space="preserve">This exercise was not designed to explore the impact of bringing forward full release to </w:t>
      </w:r>
      <w:r w:rsidR="00A4464B">
        <w:t>May 17</w:t>
      </w:r>
      <w:r w:rsidR="00A4464B" w:rsidRPr="00A4464B">
        <w:rPr>
          <w:vertAlign w:val="superscript"/>
        </w:rPr>
        <w:t>th</w:t>
      </w:r>
      <w:r w:rsidR="00A4464B">
        <w:t xml:space="preserve"> </w:t>
      </w:r>
      <w:r w:rsidR="00452CB6">
        <w:t>(day 137) but there is clearly scope for doing so without a significant risk of either overwhelming the NHS or needing to re-impose lockdown o</w:t>
      </w:r>
      <w:r w:rsidR="004A7EBD">
        <w:t>ver the medium term (=6 months), provided that vaccine roll-out is expected to continue at current pace.</w:t>
      </w:r>
    </w:p>
    <w:p w14:paraId="5A5979E3" w14:textId="4E74964C" w:rsidR="00A4464B" w:rsidRDefault="00A503E8" w:rsidP="004D73ED">
      <w:pPr>
        <w:jc w:val="both"/>
      </w:pPr>
      <w:r>
        <w:t>A</w:t>
      </w:r>
      <w:r w:rsidR="00B1142B">
        <w:t>s a</w:t>
      </w:r>
      <w:r>
        <w:t>n</w:t>
      </w:r>
      <w:r w:rsidR="00A4464B">
        <w:t xml:space="preserve"> earl</w:t>
      </w:r>
      <w:r w:rsidR="004A7EBD">
        <w:t>ier</w:t>
      </w:r>
      <w:r w:rsidR="00A4464B">
        <w:t xml:space="preserve"> release</w:t>
      </w:r>
      <w:r w:rsidR="004A7EBD">
        <w:t xml:space="preserve"> from restrictions</w:t>
      </w:r>
      <w:r w:rsidR="00A4464B">
        <w:t xml:space="preserve"> could now be a viable policy option we </w:t>
      </w:r>
      <w:r w:rsidR="004A7EBD">
        <w:t>suggest</w:t>
      </w:r>
      <w:r w:rsidR="00A4464B">
        <w:t xml:space="preserve"> that it is modelled</w:t>
      </w:r>
      <w:r w:rsidR="00900A60">
        <w:t xml:space="preserve"> </w:t>
      </w:r>
      <w:r w:rsidR="004A7EBD">
        <w:t>in more detail</w:t>
      </w:r>
      <w:r w:rsidR="00A4464B">
        <w:t>.</w:t>
      </w:r>
    </w:p>
    <w:p w14:paraId="6D91BC6A" w14:textId="251CD804" w:rsidR="00452CB6" w:rsidRDefault="00452CB6" w:rsidP="004D73ED">
      <w:pPr>
        <w:jc w:val="both"/>
      </w:pPr>
      <w:r>
        <w:t xml:space="preserve">The </w:t>
      </w:r>
      <w:commentRangeStart w:id="1"/>
      <w:r>
        <w:t>herd</w:t>
      </w:r>
      <w:commentRangeEnd w:id="1"/>
      <w:r w:rsidR="002C7D0D">
        <w:rPr>
          <w:rStyle w:val="CommentReference"/>
        </w:rPr>
        <w:commentReference w:id="1"/>
      </w:r>
      <w:r>
        <w:t xml:space="preserve"> immunity threshold is not reached in these updated scenarios. This means that some degree of resurgence is expected in 2021 or early 2022 unless some countermeasures are retained.</w:t>
      </w:r>
    </w:p>
    <w:p w14:paraId="35A5CD9C" w14:textId="77777777" w:rsidR="008C1830" w:rsidRDefault="00324220" w:rsidP="004D73ED">
      <w:pPr>
        <w:jc w:val="both"/>
      </w:pPr>
      <w:r>
        <w:t xml:space="preserve">NB. </w:t>
      </w:r>
      <w:r w:rsidR="00DA0791">
        <w:t xml:space="preserve">This analysis provides insights in to the complex dynamics of a combination of virus spread, the impact of NPIs and vaccine roll out. We use the model to explore different scenarios that shed light on these dynamics over a one-year period. They are </w:t>
      </w:r>
      <w:r w:rsidR="00DA0791" w:rsidRPr="00DA0791">
        <w:rPr>
          <w:u w:val="single"/>
        </w:rPr>
        <w:t>not</w:t>
      </w:r>
      <w:r w:rsidR="00DA0791">
        <w:t xml:space="preserve"> predictions.</w:t>
      </w:r>
    </w:p>
    <w:p w14:paraId="34CDB2D6" w14:textId="77777777" w:rsidR="00AF11BC" w:rsidRDefault="00AF11BC">
      <w:r>
        <w:br w:type="page"/>
      </w:r>
    </w:p>
    <w:p w14:paraId="52529B6D" w14:textId="77777777" w:rsidR="008B7261" w:rsidRDefault="008B7261"/>
    <w:p w14:paraId="46217CB7" w14:textId="0021A2BF" w:rsidR="00C14EBE" w:rsidRDefault="004D73ED">
      <w:r w:rsidRPr="004D73ED">
        <w:rPr>
          <w:noProof/>
          <w:lang w:eastAsia="en-GB"/>
        </w:rPr>
        <w:drawing>
          <wp:inline distT="0" distB="0" distL="0" distR="0" wp14:anchorId="256D2632" wp14:editId="60E397BF">
            <wp:extent cx="5543550" cy="4434349"/>
            <wp:effectExtent l="0" t="0" r="0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7BF3DF2-56D0-4710-BE5A-0E229B3FA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7BF3DF2-56D0-4710-BE5A-0E229B3FAF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424" cy="44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35">
        <w:t xml:space="preserve"> </w:t>
      </w:r>
    </w:p>
    <w:p w14:paraId="0DBA4356" w14:textId="426EA12E" w:rsidR="00A4464B" w:rsidRPr="001C405D" w:rsidRDefault="00A4464B" w:rsidP="00A4464B">
      <w:pPr>
        <w:jc w:val="both"/>
      </w:pPr>
      <w:r w:rsidRPr="0032136B">
        <w:rPr>
          <w:b/>
          <w:bCs/>
        </w:rPr>
        <w:t>Figure 1 – Simulated daily prevalence of COVID-19 infection in</w:t>
      </w:r>
      <w:r>
        <w:rPr>
          <w:b/>
          <w:bCs/>
        </w:rPr>
        <w:t xml:space="preserve"> high risk</w:t>
      </w:r>
      <w:r w:rsidRPr="0032136B">
        <w:rPr>
          <w:b/>
          <w:bCs/>
        </w:rPr>
        <w:t xml:space="preserve"> individuals who have not been vaccinated, belonging to the vulnerable subpopulation </w:t>
      </w:r>
      <w:commentRangeStart w:id="2"/>
      <w:r w:rsidRPr="0032136B">
        <w:rPr>
          <w:b/>
          <w:bCs/>
        </w:rPr>
        <w:t>(</w:t>
      </w:r>
      <w:proofErr w:type="spellStart"/>
      <w:r w:rsidRPr="0032136B">
        <w:rPr>
          <w:b/>
          <w:bCs/>
        </w:rPr>
        <w:t>i</w:t>
      </w:r>
      <w:proofErr w:type="spellEnd"/>
      <w:r w:rsidRPr="0032136B">
        <w:rPr>
          <w:b/>
          <w:bCs/>
        </w:rPr>
        <w:t xml:space="preserve">) </w:t>
      </w:r>
      <w:commentRangeEnd w:id="2"/>
      <w:r w:rsidR="002C7D0D">
        <w:rPr>
          <w:rStyle w:val="CommentReference"/>
        </w:rPr>
        <w:commentReference w:id="2"/>
      </w:r>
      <w:r w:rsidRPr="0032136B">
        <w:rPr>
          <w:b/>
          <w:bCs/>
        </w:rPr>
        <w:t>across 60 modelled scenarios.</w:t>
      </w:r>
      <w:r>
        <w:t xml:space="preserve"> </w:t>
      </w:r>
      <w:r w:rsidR="004D73ED">
        <w:t>T</w:t>
      </w:r>
      <w:r>
        <w:t>he scenario</w:t>
      </w:r>
      <w:r w:rsidR="004D73ED">
        <w:t xml:space="preserve"> highlighted in blue </w:t>
      </w:r>
      <w:r>
        <w:t>represent the baseline scenario (transmission-blocking/infection-preventing efficacy = 50% and subpopulation vaccine coverage = 95%)</w:t>
      </w:r>
      <w:r w:rsidR="004D73ED">
        <w:t xml:space="preserve"> and in red is the same but with discontinued vaccination on day 180</w:t>
      </w:r>
      <w:r>
        <w:t xml:space="preserve">. All other scenarios in grey represent sensitivity analyses relating to previously modelled parameter combinations. These may overlap.  </w:t>
      </w:r>
    </w:p>
    <w:p w14:paraId="3DB5FF54" w14:textId="3B973864" w:rsidR="00A4464B" w:rsidRDefault="00A4464B"/>
    <w:p w14:paraId="335B22B4" w14:textId="77777777" w:rsidR="00A503E8" w:rsidRDefault="00A503E8"/>
    <w:sectPr w:rsidR="00A5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 BUNNIK Bram" w:date="2021-05-04T17:34:00Z" w:initials="VBB">
    <w:p w14:paraId="79C318EF" w14:textId="5D530127" w:rsidR="002C7D0D" w:rsidRDefault="002C7D0D">
      <w:pPr>
        <w:pStyle w:val="CommentText"/>
      </w:pPr>
      <w:r>
        <w:rPr>
          <w:rStyle w:val="CommentReference"/>
        </w:rPr>
        <w:annotationRef/>
      </w:r>
      <w:r>
        <w:t>Or probably even if the current modelled rate is not maintained, it looks like a quite delicate equilibrium, worthwhile at some point to do some extra scenarios with varying vaccination rate?</w:t>
      </w:r>
    </w:p>
  </w:comment>
  <w:comment w:id="1" w:author="VAN BUNNIK Bram" w:date="2021-05-04T17:30:00Z" w:initials="VBB">
    <w:p w14:paraId="31C8162D" w14:textId="1670D409" w:rsidR="002C7D0D" w:rsidRDefault="002C7D0D">
      <w:pPr>
        <w:pStyle w:val="CommentText"/>
      </w:pPr>
      <w:r>
        <w:rPr>
          <w:rStyle w:val="CommentReference"/>
        </w:rPr>
        <w:annotationRef/>
      </w:r>
      <w:r>
        <w:t>I still prefer population immunity, but use whatever is commonly used in SPI-M meetings / documents</w:t>
      </w:r>
    </w:p>
  </w:comment>
  <w:comment w:id="2" w:author="VAN BUNNIK Bram" w:date="2021-05-04T17:33:00Z" w:initials="VBB">
    <w:p w14:paraId="0183219C" w14:textId="2C05E8DC" w:rsidR="002C7D0D" w:rsidRDefault="002C7D0D">
      <w:pPr>
        <w:pStyle w:val="CommentText"/>
      </w:pPr>
      <w:r>
        <w:rPr>
          <w:rStyle w:val="CommentReference"/>
        </w:rPr>
        <w:annotationRef/>
      </w:r>
      <w:r>
        <w:t>This is not further defined in this document, but I seem to remember it is in the previous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C318EF" w15:done="0"/>
  <w15:commentEx w15:paraId="31C8162D" w15:done="0"/>
  <w15:commentEx w15:paraId="01832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C318EF" w16cid:durableId="26D324F4"/>
  <w16cid:commentId w16cid:paraId="31C8162D" w16cid:durableId="26D324F5"/>
  <w16cid:commentId w16cid:paraId="0183219C" w16cid:durableId="26D324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14E6"/>
    <w:multiLevelType w:val="hybridMultilevel"/>
    <w:tmpl w:val="2E3AAB70"/>
    <w:lvl w:ilvl="0" w:tplc="8CB43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C6797"/>
    <w:multiLevelType w:val="hybridMultilevel"/>
    <w:tmpl w:val="B2BC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6545"/>
    <w:multiLevelType w:val="hybridMultilevel"/>
    <w:tmpl w:val="43D82244"/>
    <w:lvl w:ilvl="0" w:tplc="42F4E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7419">
    <w:abstractNumId w:val="1"/>
  </w:num>
  <w:num w:numId="2" w16cid:durableId="1504081089">
    <w:abstractNumId w:val="0"/>
  </w:num>
  <w:num w:numId="3" w16cid:durableId="9744083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BE"/>
    <w:rsid w:val="00057800"/>
    <w:rsid w:val="000B38EA"/>
    <w:rsid w:val="00133671"/>
    <w:rsid w:val="001A1F6C"/>
    <w:rsid w:val="001B261E"/>
    <w:rsid w:val="001E5DA4"/>
    <w:rsid w:val="001E6799"/>
    <w:rsid w:val="002536E0"/>
    <w:rsid w:val="00287CEF"/>
    <w:rsid w:val="002B0BD3"/>
    <w:rsid w:val="002C7D0D"/>
    <w:rsid w:val="00324220"/>
    <w:rsid w:val="00343AB9"/>
    <w:rsid w:val="003636E8"/>
    <w:rsid w:val="003D11C6"/>
    <w:rsid w:val="00425CCB"/>
    <w:rsid w:val="00452CB6"/>
    <w:rsid w:val="004740EA"/>
    <w:rsid w:val="004A7EBD"/>
    <w:rsid w:val="004C301C"/>
    <w:rsid w:val="004D73ED"/>
    <w:rsid w:val="00551618"/>
    <w:rsid w:val="00585386"/>
    <w:rsid w:val="005B786B"/>
    <w:rsid w:val="005D58BE"/>
    <w:rsid w:val="00672FAC"/>
    <w:rsid w:val="006934BE"/>
    <w:rsid w:val="006A3899"/>
    <w:rsid w:val="007D14A5"/>
    <w:rsid w:val="00851A30"/>
    <w:rsid w:val="008B7261"/>
    <w:rsid w:val="008C1830"/>
    <w:rsid w:val="008E1D59"/>
    <w:rsid w:val="00900A60"/>
    <w:rsid w:val="00901735"/>
    <w:rsid w:val="009624C9"/>
    <w:rsid w:val="0099396C"/>
    <w:rsid w:val="009B4826"/>
    <w:rsid w:val="00A07890"/>
    <w:rsid w:val="00A13C57"/>
    <w:rsid w:val="00A445ED"/>
    <w:rsid w:val="00A4464B"/>
    <w:rsid w:val="00A503E8"/>
    <w:rsid w:val="00A7189F"/>
    <w:rsid w:val="00AF11BC"/>
    <w:rsid w:val="00B1142B"/>
    <w:rsid w:val="00B32646"/>
    <w:rsid w:val="00B53326"/>
    <w:rsid w:val="00BD3C37"/>
    <w:rsid w:val="00BE62D0"/>
    <w:rsid w:val="00C14EBE"/>
    <w:rsid w:val="00C40BC3"/>
    <w:rsid w:val="00C61F72"/>
    <w:rsid w:val="00C62B06"/>
    <w:rsid w:val="00C7350B"/>
    <w:rsid w:val="00C75BBD"/>
    <w:rsid w:val="00CD02E9"/>
    <w:rsid w:val="00D31FE6"/>
    <w:rsid w:val="00D4731E"/>
    <w:rsid w:val="00D913B6"/>
    <w:rsid w:val="00DA0791"/>
    <w:rsid w:val="00DC6169"/>
    <w:rsid w:val="00E12772"/>
    <w:rsid w:val="00E811BD"/>
    <w:rsid w:val="00EA0B98"/>
    <w:rsid w:val="00F80165"/>
    <w:rsid w:val="00F81F5C"/>
    <w:rsid w:val="00F91664"/>
    <w:rsid w:val="00FA0466"/>
    <w:rsid w:val="00FB2D88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8DD8"/>
  <w15:chartTrackingRefBased/>
  <w15:docId w15:val="{147A19E7-F0CA-49FD-8152-A98BB0EB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6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2630-AAEF-4195-B1DC-A93C82C2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WOOLHOUSE Mark</dc:creator>
  <cp:keywords/>
  <dc:description/>
  <cp:lastModifiedBy>Morgan  Alexander Liang Kang</cp:lastModifiedBy>
  <cp:revision>2</cp:revision>
  <dcterms:created xsi:type="dcterms:W3CDTF">2022-09-19T15:34:00Z</dcterms:created>
  <dcterms:modified xsi:type="dcterms:W3CDTF">2022-09-19T15:34:00Z</dcterms:modified>
</cp:coreProperties>
</file>