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EC49" w14:textId="77777777" w:rsidR="00E71C62" w:rsidRDefault="00E71C62" w:rsidP="00E71C62">
      <w:pPr>
        <w:pStyle w:val="Listenabsatz"/>
        <w:jc w:val="center"/>
        <w:rPr>
          <w:b/>
          <w:bCs/>
          <w:sz w:val="28"/>
          <w:szCs w:val="28"/>
        </w:rPr>
      </w:pPr>
    </w:p>
    <w:p w14:paraId="2FF2091E" w14:textId="77777777" w:rsidR="00E71C62" w:rsidRDefault="00E71C62" w:rsidP="00E71C62">
      <w:pPr>
        <w:pStyle w:val="Listenabsatz"/>
        <w:jc w:val="center"/>
        <w:rPr>
          <w:b/>
          <w:bCs/>
          <w:sz w:val="28"/>
          <w:szCs w:val="28"/>
        </w:rPr>
      </w:pPr>
    </w:p>
    <w:p w14:paraId="1108E3C4" w14:textId="77777777" w:rsidR="00E71C62" w:rsidRDefault="00E71C62" w:rsidP="00E71C62">
      <w:pPr>
        <w:pStyle w:val="Listenabsatz"/>
        <w:jc w:val="center"/>
        <w:rPr>
          <w:b/>
          <w:bCs/>
          <w:sz w:val="28"/>
          <w:szCs w:val="28"/>
        </w:rPr>
      </w:pPr>
    </w:p>
    <w:p w14:paraId="04E6274D" w14:textId="77777777" w:rsidR="00E71C62" w:rsidRDefault="00E71C62" w:rsidP="00E71C62">
      <w:pPr>
        <w:pStyle w:val="Listenabsatz"/>
        <w:jc w:val="center"/>
        <w:rPr>
          <w:b/>
          <w:bCs/>
          <w:sz w:val="28"/>
          <w:szCs w:val="28"/>
        </w:rPr>
      </w:pPr>
    </w:p>
    <w:p w14:paraId="678E200D" w14:textId="77777777" w:rsidR="00E71C62" w:rsidRDefault="00E71C62" w:rsidP="00E71C62">
      <w:pPr>
        <w:pStyle w:val="Listenabsatz"/>
        <w:jc w:val="center"/>
        <w:rPr>
          <w:b/>
          <w:bCs/>
          <w:sz w:val="28"/>
          <w:szCs w:val="28"/>
        </w:rPr>
      </w:pPr>
    </w:p>
    <w:p w14:paraId="5E7F0379" w14:textId="0C7E624F" w:rsidR="00E71C62" w:rsidRPr="00E71C62" w:rsidRDefault="00E71C62" w:rsidP="00E71C62">
      <w:pPr>
        <w:pStyle w:val="Listenabsatz"/>
        <w:jc w:val="center"/>
        <w:rPr>
          <w:b/>
          <w:bCs/>
          <w:sz w:val="28"/>
          <w:szCs w:val="28"/>
        </w:rPr>
      </w:pPr>
      <w:r>
        <w:rPr>
          <w:b/>
          <w:bCs/>
          <w:sz w:val="28"/>
          <w:szCs w:val="28"/>
        </w:rPr>
        <w:t>Salesforce (CRM)</w:t>
      </w:r>
    </w:p>
    <w:p w14:paraId="49B533C4" w14:textId="77777777" w:rsidR="00E71C62" w:rsidRDefault="00E71C62" w:rsidP="00E71C62">
      <w:pPr>
        <w:pStyle w:val="Listenabsatz"/>
        <w:jc w:val="center"/>
      </w:pPr>
      <w:r>
        <w:t>Equity Research Report – Aktienanalyse</w:t>
      </w:r>
    </w:p>
    <w:p w14:paraId="478FB4E1" w14:textId="77777777" w:rsidR="00E71C62" w:rsidRDefault="00E71C62" w:rsidP="00E71C62">
      <w:pPr>
        <w:ind w:left="360"/>
        <w:jc w:val="center"/>
      </w:pPr>
    </w:p>
    <w:p w14:paraId="6F1AEAEF" w14:textId="77777777" w:rsidR="00E71C62" w:rsidRDefault="00E71C62" w:rsidP="00E71C62">
      <w:pPr>
        <w:pStyle w:val="Listenabsatz"/>
      </w:pPr>
    </w:p>
    <w:p w14:paraId="76B3D2CC" w14:textId="77777777" w:rsidR="00E71C62" w:rsidRDefault="00E71C62" w:rsidP="00E71C62">
      <w:pPr>
        <w:pStyle w:val="Listenabsatz"/>
      </w:pPr>
    </w:p>
    <w:p w14:paraId="6BAAE59A" w14:textId="77777777" w:rsidR="00E71C62" w:rsidRDefault="00E71C62" w:rsidP="00E71C62">
      <w:pPr>
        <w:pStyle w:val="Listenabsatz"/>
      </w:pPr>
    </w:p>
    <w:p w14:paraId="16372AC7" w14:textId="77777777" w:rsidR="00E71C62" w:rsidRDefault="00E71C62" w:rsidP="00E71C62">
      <w:pPr>
        <w:pStyle w:val="Listenabsatz"/>
      </w:pPr>
      <w:r>
        <w:t xml:space="preserve">Analyst: Alexander Müller       </w:t>
      </w:r>
    </w:p>
    <w:p w14:paraId="5D70C213" w14:textId="029C48F8" w:rsidR="00E71C62" w:rsidRDefault="00E71C62" w:rsidP="00E71C62">
      <w:pPr>
        <w:pStyle w:val="Listenabsatz"/>
      </w:pPr>
      <w:r>
        <w:t xml:space="preserve">Datum: </w:t>
      </w:r>
      <w:r w:rsidR="00EE1464">
        <w:t>15.06.2026</w:t>
      </w:r>
    </w:p>
    <w:p w14:paraId="49D22C11" w14:textId="77777777" w:rsidR="00E71C62" w:rsidRDefault="00E71C62" w:rsidP="00E71C62">
      <w:pPr>
        <w:pStyle w:val="Listenabsatz"/>
      </w:pPr>
      <w:r>
        <w:t>Version: 1.0</w:t>
      </w:r>
    </w:p>
    <w:p w14:paraId="1EF167DD" w14:textId="77777777" w:rsidR="00E71C62" w:rsidRDefault="00E71C62" w:rsidP="00E71C62">
      <w:pPr>
        <w:pStyle w:val="Listenabsatz"/>
      </w:pPr>
    </w:p>
    <w:p w14:paraId="2E2A3B0A" w14:textId="77777777" w:rsidR="00E71C62" w:rsidRDefault="00E71C62" w:rsidP="00E71C62">
      <w:pPr>
        <w:pStyle w:val="Listenabsatz"/>
      </w:pPr>
    </w:p>
    <w:p w14:paraId="2527B97D" w14:textId="77777777" w:rsidR="00E71C62" w:rsidRDefault="00E71C62" w:rsidP="00E71C62">
      <w:pPr>
        <w:ind w:left="360"/>
      </w:pPr>
    </w:p>
    <w:p w14:paraId="0003B580" w14:textId="7D7143FD" w:rsidR="00E71C62" w:rsidRDefault="00EC46D7" w:rsidP="00E71C62">
      <w:pPr>
        <w:ind w:left="360"/>
        <w:jc w:val="center"/>
      </w:pPr>
      <w:r>
        <w:t>KAUFEN</w:t>
      </w:r>
    </w:p>
    <w:p w14:paraId="29568EBF" w14:textId="14976267" w:rsidR="00E71C62" w:rsidRDefault="00E71C62" w:rsidP="00E71C62">
      <w:pPr>
        <w:pStyle w:val="Listenabsatz"/>
        <w:jc w:val="center"/>
      </w:pPr>
      <w:r>
        <w:t xml:space="preserve">Aktueller Kurs: </w:t>
      </w:r>
      <w:r w:rsidR="00EE1464">
        <w:t>166 USD</w:t>
      </w:r>
    </w:p>
    <w:p w14:paraId="78AF0569" w14:textId="0DCE3C0A" w:rsidR="00E71C62" w:rsidRDefault="00E71C62" w:rsidP="00E71C62">
      <w:pPr>
        <w:ind w:left="360"/>
        <w:jc w:val="center"/>
      </w:pPr>
      <w:r>
        <w:t xml:space="preserve">Zielkurs / Fair Value Base Case: </w:t>
      </w:r>
      <w:r w:rsidR="00EE1464">
        <w:t>214 USD</w:t>
      </w:r>
    </w:p>
    <w:p w14:paraId="6D6F7481" w14:textId="4B761E0D" w:rsidR="00E71C62" w:rsidRDefault="00EE1464" w:rsidP="00E71C62">
      <w:pPr>
        <w:pStyle w:val="Listenabsatz"/>
        <w:jc w:val="center"/>
      </w:pPr>
      <w:r>
        <w:t>Aufwärtspotenzial: +28,9%</w:t>
      </w:r>
    </w:p>
    <w:p w14:paraId="67D57BE9" w14:textId="2F738E29" w:rsidR="00E71C62" w:rsidRDefault="00E71C62" w:rsidP="00E71C62">
      <w:pPr>
        <w:ind w:left="360"/>
        <w:jc w:val="center"/>
      </w:pPr>
      <w:r>
        <w:t xml:space="preserve">Risiko: </w:t>
      </w:r>
      <w:r w:rsidR="00EE1464">
        <w:t>gering bis mittel</w:t>
      </w:r>
    </w:p>
    <w:p w14:paraId="5E511168" w14:textId="77777777" w:rsidR="00E71C62" w:rsidRDefault="00E71C62" w:rsidP="00E71C62">
      <w:pPr>
        <w:ind w:left="360"/>
        <w:jc w:val="center"/>
      </w:pPr>
    </w:p>
    <w:p w14:paraId="4570B70D" w14:textId="77777777" w:rsidR="00E71C62" w:rsidRDefault="00E71C62" w:rsidP="00E71C62">
      <w:pPr>
        <w:ind w:left="360"/>
        <w:jc w:val="center"/>
      </w:pPr>
    </w:p>
    <w:p w14:paraId="67D26C11" w14:textId="77777777" w:rsidR="00E71C62" w:rsidRDefault="00E71C62" w:rsidP="00E71C62">
      <w:pPr>
        <w:ind w:left="360"/>
        <w:jc w:val="center"/>
      </w:pPr>
    </w:p>
    <w:p w14:paraId="03FF8E03" w14:textId="77777777" w:rsidR="00E71C62" w:rsidRDefault="00E71C62" w:rsidP="00E71C62">
      <w:pPr>
        <w:pStyle w:val="Listenabsatz"/>
      </w:pPr>
    </w:p>
    <w:p w14:paraId="7DF7BFEF" w14:textId="77777777" w:rsidR="00E71C62" w:rsidRDefault="00E71C62" w:rsidP="00E71C62">
      <w:pPr>
        <w:pStyle w:val="Listenabsatz"/>
      </w:pPr>
    </w:p>
    <w:tbl>
      <w:tblPr>
        <w:tblStyle w:val="Tabellenraster"/>
        <w:tblW w:w="0" w:type="auto"/>
        <w:tblLook w:val="04A0" w:firstRow="1" w:lastRow="0" w:firstColumn="1" w:lastColumn="0" w:noHBand="0" w:noVBand="1"/>
      </w:tblPr>
      <w:tblGrid>
        <w:gridCol w:w="4531"/>
        <w:gridCol w:w="4531"/>
      </w:tblGrid>
      <w:tr w:rsidR="00E71C62" w14:paraId="23452B6E" w14:textId="77777777">
        <w:tc>
          <w:tcPr>
            <w:tcW w:w="4531" w:type="dxa"/>
          </w:tcPr>
          <w:p w14:paraId="248B3288" w14:textId="77777777" w:rsidR="00E71C62" w:rsidRDefault="00E71C62">
            <w:r>
              <w:t>Marktkapitalisierung</w:t>
            </w:r>
          </w:p>
        </w:tc>
        <w:tc>
          <w:tcPr>
            <w:tcW w:w="4531" w:type="dxa"/>
          </w:tcPr>
          <w:p w14:paraId="0B1E44E1" w14:textId="302488C9" w:rsidR="00E71C62" w:rsidRDefault="00ED5556" w:rsidP="00ED5556">
            <w:pPr>
              <w:tabs>
                <w:tab w:val="left" w:pos="900"/>
              </w:tabs>
              <w:jc w:val="center"/>
            </w:pPr>
            <w:r>
              <w:t>136,45 Mrd.</w:t>
            </w:r>
            <w:r w:rsidR="00165424">
              <w:t xml:space="preserve"> USD</w:t>
            </w:r>
          </w:p>
        </w:tc>
      </w:tr>
      <w:tr w:rsidR="00E71C62" w14:paraId="6ED5E0B9" w14:textId="77777777">
        <w:tc>
          <w:tcPr>
            <w:tcW w:w="4531" w:type="dxa"/>
          </w:tcPr>
          <w:p w14:paraId="2F9FDD93" w14:textId="77777777" w:rsidR="00E71C62" w:rsidRDefault="00E71C62">
            <w:r>
              <w:t>KGV</w:t>
            </w:r>
          </w:p>
        </w:tc>
        <w:tc>
          <w:tcPr>
            <w:tcW w:w="4531" w:type="dxa"/>
          </w:tcPr>
          <w:p w14:paraId="2304163D" w14:textId="5AB954A3" w:rsidR="00E71C62" w:rsidRDefault="00ED5556" w:rsidP="00ED5556">
            <w:pPr>
              <w:jc w:val="center"/>
            </w:pPr>
            <w:r>
              <w:t>19,29x</w:t>
            </w:r>
          </w:p>
        </w:tc>
      </w:tr>
      <w:tr w:rsidR="00E71C62" w14:paraId="30BEDD89" w14:textId="77777777">
        <w:tc>
          <w:tcPr>
            <w:tcW w:w="4531" w:type="dxa"/>
          </w:tcPr>
          <w:p w14:paraId="1E1B0CC0" w14:textId="398A1358" w:rsidR="00E71C62" w:rsidRDefault="00EE1464">
            <w:r>
              <w:t>Umsatzwachstum FY 2026</w:t>
            </w:r>
          </w:p>
        </w:tc>
        <w:tc>
          <w:tcPr>
            <w:tcW w:w="4531" w:type="dxa"/>
          </w:tcPr>
          <w:p w14:paraId="0EC4D8D3" w14:textId="408F9D94" w:rsidR="00E71C62" w:rsidRDefault="00EE1464" w:rsidP="00EE1464">
            <w:pPr>
              <w:jc w:val="center"/>
            </w:pPr>
            <w:r>
              <w:t>9,58%</w:t>
            </w:r>
          </w:p>
        </w:tc>
      </w:tr>
      <w:tr w:rsidR="00E71C62" w14:paraId="53391AC3" w14:textId="77777777">
        <w:tc>
          <w:tcPr>
            <w:tcW w:w="4531" w:type="dxa"/>
          </w:tcPr>
          <w:p w14:paraId="2545A42B" w14:textId="33664507" w:rsidR="00E71C62" w:rsidRDefault="00EE1464">
            <w:r>
              <w:t>Operating Margin FY 2026</w:t>
            </w:r>
          </w:p>
        </w:tc>
        <w:tc>
          <w:tcPr>
            <w:tcW w:w="4531" w:type="dxa"/>
          </w:tcPr>
          <w:p w14:paraId="7BB7BF76" w14:textId="166D011F" w:rsidR="00E71C62" w:rsidRDefault="00EE1464" w:rsidP="00EE1464">
            <w:pPr>
              <w:jc w:val="center"/>
            </w:pPr>
            <w:r>
              <w:t>20,06%</w:t>
            </w:r>
          </w:p>
        </w:tc>
      </w:tr>
      <w:tr w:rsidR="00E71C62" w14:paraId="3619675D" w14:textId="77777777">
        <w:tc>
          <w:tcPr>
            <w:tcW w:w="4531" w:type="dxa"/>
          </w:tcPr>
          <w:p w14:paraId="50C47F49" w14:textId="492555DA" w:rsidR="00E71C62" w:rsidRDefault="00EE1464">
            <w:r>
              <w:t>F</w:t>
            </w:r>
            <w:r w:rsidR="00EC46D7">
              <w:t>ree-Cashflow Margin FY 2026</w:t>
            </w:r>
          </w:p>
        </w:tc>
        <w:tc>
          <w:tcPr>
            <w:tcW w:w="4531" w:type="dxa"/>
          </w:tcPr>
          <w:p w14:paraId="1D53E232" w14:textId="4E0E9C79" w:rsidR="00E71C62" w:rsidRDefault="00EC46D7" w:rsidP="00EC46D7">
            <w:pPr>
              <w:jc w:val="center"/>
            </w:pPr>
            <w:r>
              <w:t>34,68%</w:t>
            </w:r>
          </w:p>
        </w:tc>
      </w:tr>
    </w:tbl>
    <w:p w14:paraId="4625D3FB" w14:textId="77777777" w:rsidR="00E71C62" w:rsidRDefault="00E71C62" w:rsidP="00E71C62">
      <w:pPr>
        <w:pStyle w:val="Listenabsatz"/>
      </w:pPr>
    </w:p>
    <w:p w14:paraId="72E5E6B1" w14:textId="77777777" w:rsidR="00E71C62" w:rsidRDefault="00E71C62" w:rsidP="00E71C62">
      <w:pPr>
        <w:pStyle w:val="Listenabsatz"/>
      </w:pPr>
    </w:p>
    <w:p w14:paraId="556FEE7F" w14:textId="77777777" w:rsidR="00E71C62" w:rsidRDefault="00E71C62" w:rsidP="00E71C62">
      <w:pPr>
        <w:pStyle w:val="Listenabsatz"/>
      </w:pPr>
    </w:p>
    <w:p w14:paraId="42966D38" w14:textId="437FAD24" w:rsidR="00E71C62" w:rsidRDefault="00E53349" w:rsidP="00A4785E">
      <w:pPr>
        <w:pStyle w:val="Listenabsatz"/>
        <w:numPr>
          <w:ilvl w:val="0"/>
          <w:numId w:val="1"/>
        </w:numPr>
      </w:pPr>
      <w:r>
        <w:lastRenderedPageBreak/>
        <w:t xml:space="preserve">Zusammenfassung &amp; </w:t>
      </w:r>
      <w:r w:rsidR="00DC2EE5">
        <w:t>Anlageentscheidung</w:t>
      </w:r>
      <w:r>
        <w:t xml:space="preserve"> (</w:t>
      </w:r>
      <w:r w:rsidR="00A4785E">
        <w:t>Investment Summary</w:t>
      </w:r>
      <w:r w:rsidR="00E71C62">
        <w:t>)</w:t>
      </w:r>
    </w:p>
    <w:p w14:paraId="1BA67D7C" w14:textId="77777777" w:rsidR="002E4995" w:rsidRDefault="002E4995" w:rsidP="002E4995">
      <w:pPr>
        <w:pStyle w:val="Listenabsatz"/>
      </w:pPr>
    </w:p>
    <w:p w14:paraId="0D0A8538" w14:textId="1E4946F6" w:rsidR="003F08A5" w:rsidRDefault="003F08A5" w:rsidP="002E4995">
      <w:pPr>
        <w:pStyle w:val="Listenabsatz"/>
      </w:pPr>
      <w:r>
        <w:t>Mein Fazit: Kaufen</w:t>
      </w:r>
    </w:p>
    <w:p w14:paraId="7C54BD2D" w14:textId="375E56BC" w:rsidR="002E4995" w:rsidRDefault="003F08A5" w:rsidP="002E4995">
      <w:pPr>
        <w:pStyle w:val="Listenabsatz"/>
      </w:pPr>
      <w:r>
        <w:br/>
        <w:t>Salesforce ist ein Qualitätsunternehmen mit wiederkehrenden Umsätzen, hohen Cashflows und zunehmende</w:t>
      </w:r>
      <w:r w:rsidR="00ED5556">
        <w:t>r</w:t>
      </w:r>
      <w:r>
        <w:t xml:space="preserve"> Profitabilität. Gleichzeitig ist das Unternehmen Marktführer im CRM-Markt. Zum aktuellen Kurs von rund 166 USD berücksichtigt der Markt die Qualität des Unternehmens sowie das Potenzial aus </w:t>
      </w:r>
      <w:proofErr w:type="spellStart"/>
      <w:r>
        <w:t>Agentforce</w:t>
      </w:r>
      <w:proofErr w:type="spellEnd"/>
      <w:r>
        <w:t xml:space="preserve">, Data 360 und Slack nicht ausreichend. Die DCF-Bewertung ergibt im Base Case einen fairen Wert von ca. 214 USD je Aktie. Im Bear Case liegt der faire Wert bei rund 174 USD, während der Bull Case einen fairen Wert von </w:t>
      </w:r>
      <w:proofErr w:type="spellStart"/>
      <w:r>
        <w:t>ca</w:t>
      </w:r>
      <w:proofErr w:type="spellEnd"/>
      <w:r>
        <w:t xml:space="preserve"> 288 USD ergibt.</w:t>
      </w:r>
    </w:p>
    <w:p w14:paraId="079EDF35" w14:textId="77777777" w:rsidR="003F08A5" w:rsidRDefault="003F08A5" w:rsidP="002E4995">
      <w:pPr>
        <w:pStyle w:val="Listenabsatz"/>
      </w:pPr>
    </w:p>
    <w:p w14:paraId="2A2C996D" w14:textId="65A2C0B9" w:rsidR="003F08A5" w:rsidRDefault="003F08A5" w:rsidP="002E4995">
      <w:pPr>
        <w:pStyle w:val="Listenabsatz"/>
      </w:pPr>
      <w:r>
        <w:t xml:space="preserve">Meiner Meinung nach ist Salesforce aktuell kaufenswert. Die Investmentthese basiert vor allem auf der starken Marktposition und Qualität des Unternehmens </w:t>
      </w:r>
      <w:r w:rsidR="009E05F9">
        <w:t>und auf der Chance</w:t>
      </w:r>
      <w:r w:rsidR="00ED5556">
        <w:t>,</w:t>
      </w:r>
      <w:r w:rsidR="009E05F9">
        <w:t xml:space="preserve"> zukünftig durch </w:t>
      </w:r>
      <w:proofErr w:type="spellStart"/>
      <w:r w:rsidR="009E05F9">
        <w:t>Agentforce</w:t>
      </w:r>
      <w:proofErr w:type="spellEnd"/>
      <w:r w:rsidR="009E05F9">
        <w:t xml:space="preserve">, Data 360 und Slack weiterhin stark zu wachsen. Das bedeutendste Risiko sehe ich darin, dass Kunden nicht bereit sind, für neue bzw. verbesserte KI-Funktionen mehr Geld zu zahlen. Als weiteres Risiko sehe ich, dass durch </w:t>
      </w:r>
      <w:r w:rsidR="00ED5556">
        <w:t>d</w:t>
      </w:r>
      <w:r w:rsidR="009E05F9">
        <w:t>ie voranschreitende Entwicklung von KI</w:t>
      </w:r>
      <w:r w:rsidR="00ED5556">
        <w:t xml:space="preserve"> </w:t>
      </w:r>
      <w:r w:rsidR="009E05F9">
        <w:t>einzelne Salesforce</w:t>
      </w:r>
      <w:r w:rsidR="000A65AE">
        <w:t>-</w:t>
      </w:r>
      <w:r w:rsidR="009E05F9">
        <w:t>Funktionen ersetzt werden</w:t>
      </w:r>
      <w:r w:rsidR="00ED5556">
        <w:t xml:space="preserve"> könnten</w:t>
      </w:r>
      <w:r w:rsidR="009E05F9">
        <w:t xml:space="preserve">. </w:t>
      </w:r>
      <w:r w:rsidR="00ED5556">
        <w:t>Einen vollständigen Ersatz der Salesforce-Plattform halte ich jedoch aufgrund der tiefen Integration in Unternehmensprozesse und der hohen Umstellungskosten für sehr unwahrscheinlich.</w:t>
      </w:r>
    </w:p>
    <w:p w14:paraId="4E3C002A" w14:textId="1FE8DD54" w:rsidR="00A4785E" w:rsidRDefault="00A4785E" w:rsidP="00E71C62">
      <w:pPr>
        <w:pStyle w:val="Listenabsatz"/>
      </w:pPr>
    </w:p>
    <w:p w14:paraId="095DD67D" w14:textId="4988F040" w:rsidR="00DC7D3A" w:rsidRDefault="00E53349" w:rsidP="00DC7D3A">
      <w:pPr>
        <w:pStyle w:val="Listenabsatz"/>
        <w:numPr>
          <w:ilvl w:val="0"/>
          <w:numId w:val="1"/>
        </w:numPr>
      </w:pPr>
      <w:r>
        <w:t>Unternehmensbeschreibung (</w:t>
      </w:r>
      <w:r w:rsidR="00A4785E">
        <w:t>Business De</w:t>
      </w:r>
      <w:r>
        <w:t>s</w:t>
      </w:r>
      <w:r w:rsidR="00A4785E">
        <w:t>cription</w:t>
      </w:r>
      <w:r>
        <w:t>)</w:t>
      </w:r>
    </w:p>
    <w:p w14:paraId="5C11854D" w14:textId="77777777" w:rsidR="00DC7D3A" w:rsidRDefault="00DC7D3A" w:rsidP="00DC7D3A">
      <w:pPr>
        <w:pStyle w:val="Listenabsatz"/>
      </w:pPr>
    </w:p>
    <w:p w14:paraId="2ACED6C1" w14:textId="5345D477" w:rsidR="00DC7D3A" w:rsidRDefault="00DC7D3A" w:rsidP="00DC7D3A">
      <w:pPr>
        <w:pStyle w:val="Listenabsatz"/>
      </w:pPr>
      <w:r>
        <w:t xml:space="preserve">Salesforce ist ein </w:t>
      </w:r>
      <w:r w:rsidR="00CC6025">
        <w:t>weltweit</w:t>
      </w:r>
      <w:r>
        <w:t xml:space="preserve"> führender Anbieter von cloudbasierter Unternehmenssoftware für Kundenbeziehungsmanagement („Customer-Relationship-Management (CRM)“). Das Unternehmen hilft anderen Firmen dabei, Kundenbeziehungen über diverse Wege zu verwalten und zu verbessern. Besonders wichtig ist das im Bereich Vertrieb, Kundenservice, Marketing, E-Commerce, Datenmanagement, Integration und Analyse.</w:t>
      </w:r>
    </w:p>
    <w:p w14:paraId="4C4350E4" w14:textId="77777777" w:rsidR="00DC7D3A" w:rsidRDefault="00DC7D3A" w:rsidP="00DC7D3A">
      <w:pPr>
        <w:pStyle w:val="Listenabsatz"/>
      </w:pPr>
    </w:p>
    <w:p w14:paraId="3B351958" w14:textId="0374686B" w:rsidR="00DC7D3A" w:rsidRDefault="00DC7D3A" w:rsidP="00DC7D3A">
      <w:pPr>
        <w:pStyle w:val="Listenabsatz"/>
      </w:pPr>
      <w:r>
        <w:t>Das Geschäftsmodell ist Business</w:t>
      </w:r>
      <w:r w:rsidR="002D682C">
        <w:t>-</w:t>
      </w:r>
      <w:proofErr w:type="spellStart"/>
      <w:r>
        <w:t>to</w:t>
      </w:r>
      <w:proofErr w:type="spellEnd"/>
      <w:r w:rsidR="002D682C">
        <w:t>-</w:t>
      </w:r>
      <w:r>
        <w:t>Business (B2B) orientiert und basiert auf regelmäßig</w:t>
      </w:r>
      <w:r w:rsidR="00CC6025">
        <w:t xml:space="preserve"> wiederkehrende</w:t>
      </w:r>
      <w:r w:rsidR="002D682C">
        <w:t>n</w:t>
      </w:r>
      <w:r>
        <w:t xml:space="preserve"> Abonnementumsätze</w:t>
      </w:r>
      <w:r w:rsidR="002D682C">
        <w:t>n</w:t>
      </w:r>
      <w:r>
        <w:t xml:space="preserve">. Kunden zahlen für den Zugang </w:t>
      </w:r>
      <w:r w:rsidR="00CC6025">
        <w:t xml:space="preserve">zu </w:t>
      </w:r>
      <w:r>
        <w:t xml:space="preserve">Softwarelösungen. Zusätzlich bietet das Unternehmen an, </w:t>
      </w:r>
      <w:r w:rsidR="002D682C">
        <w:t>seine</w:t>
      </w:r>
      <w:r>
        <w:t xml:space="preserve"> Plattform und </w:t>
      </w:r>
      <w:r w:rsidR="002D682C">
        <w:t>seine</w:t>
      </w:r>
      <w:r>
        <w:t xml:space="preserve"> Tools zu verwenden, um </w:t>
      </w:r>
      <w:r w:rsidR="00CC6025">
        <w:t>individuell angefertigte</w:t>
      </w:r>
      <w:r>
        <w:t xml:space="preserve"> Lösungen zu entwickeln. </w:t>
      </w:r>
    </w:p>
    <w:p w14:paraId="1938F0E0" w14:textId="736CE8E1" w:rsidR="00DC7D3A" w:rsidRDefault="00DC7D3A" w:rsidP="00DC7D3A">
      <w:pPr>
        <w:pStyle w:val="Listenabsatz"/>
      </w:pPr>
    </w:p>
    <w:p w14:paraId="3147B0EC" w14:textId="4F0603F0" w:rsidR="004711E1" w:rsidRDefault="00DC7D3A" w:rsidP="00CC6025">
      <w:pPr>
        <w:pStyle w:val="Listenabsatz"/>
      </w:pPr>
      <w:r>
        <w:t xml:space="preserve">Ein wichtiger strategischer Schwerpunkt ist der Einsatz von KI in Bezug auf die Verbesserung von Prozessen. Das Unternehmen hilft Firmen dabei, </w:t>
      </w:r>
      <w:r w:rsidR="002D682C">
        <w:t>KI</w:t>
      </w:r>
      <w:r>
        <w:t xml:space="preserve">-Agenten für gewisse Prozesse </w:t>
      </w:r>
      <w:r w:rsidR="00CC6025">
        <w:t>einzusetzen</w:t>
      </w:r>
      <w:r>
        <w:t xml:space="preserve">, um </w:t>
      </w:r>
      <w:r w:rsidR="00CC6025">
        <w:t>diese zu automatisieren, verbessern</w:t>
      </w:r>
      <w:r>
        <w:t xml:space="preserve"> oder </w:t>
      </w:r>
      <w:r w:rsidR="00CC6025">
        <w:t>beschleunigen</w:t>
      </w:r>
      <w:r>
        <w:t xml:space="preserve">. Vor allem im Vertrieb, im Kundensupport und Marketing ist diese </w:t>
      </w:r>
      <w:r w:rsidR="00CC6025">
        <w:lastRenderedPageBreak/>
        <w:t>Lösung</w:t>
      </w:r>
      <w:r>
        <w:t xml:space="preserve"> </w:t>
      </w:r>
      <w:r w:rsidR="002D682C">
        <w:t>relevant</w:t>
      </w:r>
      <w:r>
        <w:t xml:space="preserve">. </w:t>
      </w:r>
      <w:r w:rsidR="00CC6025">
        <w:t>Das Unternehmen betont ausdrücklich, einen großen Wert auf Datenschutz, Datensicherheit und regulatorische Anforderungen zu legen. Das ist wichtig, weil Salesforce mit sensiblen Unternehmens- und Kundendaten arbeitet.</w:t>
      </w:r>
    </w:p>
    <w:p w14:paraId="0EFF0720" w14:textId="77777777" w:rsidR="004711E1" w:rsidRDefault="004711E1" w:rsidP="004711E1">
      <w:pPr>
        <w:pStyle w:val="Listenabsatz"/>
      </w:pPr>
    </w:p>
    <w:p w14:paraId="43338A54" w14:textId="33394E61" w:rsidR="00A4785E" w:rsidRDefault="00E53349" w:rsidP="00A4785E">
      <w:pPr>
        <w:pStyle w:val="Listenabsatz"/>
        <w:numPr>
          <w:ilvl w:val="0"/>
          <w:numId w:val="1"/>
        </w:numPr>
      </w:pPr>
      <w:r>
        <w:t>Branchenüberblick &amp; Wettbewerbsposition (</w:t>
      </w:r>
      <w:r w:rsidR="00A4785E">
        <w:t xml:space="preserve">Industry </w:t>
      </w:r>
      <w:proofErr w:type="spellStart"/>
      <w:r w:rsidR="00A4785E">
        <w:t>Overview</w:t>
      </w:r>
      <w:proofErr w:type="spellEnd"/>
      <w:r w:rsidR="00A4785E">
        <w:t xml:space="preserve"> &amp; </w:t>
      </w:r>
      <w:proofErr w:type="spellStart"/>
      <w:r w:rsidR="00A4785E">
        <w:t>Compet</w:t>
      </w:r>
      <w:r w:rsidR="00DC2EE5">
        <w:t>i</w:t>
      </w:r>
      <w:r w:rsidR="00A4785E">
        <w:t>tive</w:t>
      </w:r>
      <w:proofErr w:type="spellEnd"/>
      <w:r w:rsidR="00A4785E">
        <w:t xml:space="preserve"> Positioning</w:t>
      </w:r>
      <w:r>
        <w:t>)</w:t>
      </w:r>
    </w:p>
    <w:p w14:paraId="2815B147" w14:textId="77777777" w:rsidR="00FF29D4" w:rsidRDefault="00FF29D4" w:rsidP="00FF29D4">
      <w:pPr>
        <w:pStyle w:val="Listenabsatz"/>
      </w:pPr>
    </w:p>
    <w:p w14:paraId="47386C41" w14:textId="1ABA2862" w:rsidR="005552F8" w:rsidRDefault="00A74628" w:rsidP="00422477">
      <w:pPr>
        <w:pStyle w:val="Listenabsatz"/>
      </w:pPr>
      <w:r>
        <w:t>Der Markt für „</w:t>
      </w:r>
      <w:r w:rsidR="0058065E">
        <w:t>Customer-Relationship-Management</w:t>
      </w:r>
      <w:r>
        <w:t xml:space="preserve">“ ist laut </w:t>
      </w:r>
      <w:r w:rsidR="005552F8">
        <w:t>Grand</w:t>
      </w:r>
      <w:r w:rsidR="002D682C">
        <w:t xml:space="preserve"> </w:t>
      </w:r>
      <w:r w:rsidR="005552F8">
        <w:t>View</w:t>
      </w:r>
      <w:r w:rsidR="002D682C">
        <w:t xml:space="preserve"> </w:t>
      </w:r>
      <w:r w:rsidR="005552F8">
        <w:t>Research</w:t>
      </w:r>
      <w:r>
        <w:t xml:space="preserve"> weiterhin wachstumsstark. Dieser ist</w:t>
      </w:r>
      <w:r w:rsidR="0058065E">
        <w:t xml:space="preserve"> </w:t>
      </w:r>
      <w:r w:rsidR="005552F8">
        <w:t>von 2024 auf 2025</w:t>
      </w:r>
      <w:r w:rsidR="0058065E">
        <w:t xml:space="preserve"> um</w:t>
      </w:r>
      <w:r w:rsidR="00BB0E77">
        <w:t xml:space="preserve"> </w:t>
      </w:r>
      <w:r w:rsidR="005552F8">
        <w:t xml:space="preserve">rund </w:t>
      </w:r>
      <w:r w:rsidR="00752A2F">
        <w:t>1</w:t>
      </w:r>
      <w:r w:rsidR="005552F8">
        <w:t>2,</w:t>
      </w:r>
      <w:r w:rsidR="00DC651E">
        <w:t>3</w:t>
      </w:r>
      <w:r w:rsidR="00BB0E77">
        <w:t xml:space="preserve">% auf </w:t>
      </w:r>
      <w:r w:rsidR="005552F8">
        <w:t>ungefähr 82,4 M</w:t>
      </w:r>
      <w:r w:rsidR="00FB20FA">
        <w:t>rd.</w:t>
      </w:r>
      <w:r w:rsidR="005552F8">
        <w:t xml:space="preserve"> USD</w:t>
      </w:r>
      <w:r w:rsidR="00752A2F">
        <w:t xml:space="preserve"> </w:t>
      </w:r>
      <w:r>
        <w:t xml:space="preserve">gewachsen. </w:t>
      </w:r>
      <w:r w:rsidR="0058065E">
        <w:t>Für die kommenden Jahr</w:t>
      </w:r>
      <w:r w:rsidR="0057349A">
        <w:t>e</w:t>
      </w:r>
      <w:r w:rsidR="0058065E">
        <w:t xml:space="preserve"> </w:t>
      </w:r>
      <w:r w:rsidR="005552F8">
        <w:t>wird ein Wachstum</w:t>
      </w:r>
      <w:r w:rsidR="0058065E">
        <w:t xml:space="preserve"> </w:t>
      </w:r>
      <w:r w:rsidR="005552F8">
        <w:t>im „Customer-Relationship-Management</w:t>
      </w:r>
      <w:r w:rsidR="002D682C">
        <w:t>-</w:t>
      </w:r>
      <w:r w:rsidR="005552F8">
        <w:t>Markt</w:t>
      </w:r>
      <w:r w:rsidR="002D682C">
        <w:t>“</w:t>
      </w:r>
      <w:r w:rsidR="005552F8">
        <w:t xml:space="preserve"> </w:t>
      </w:r>
      <w:r w:rsidR="0058065E">
        <w:t>von 14,</w:t>
      </w:r>
      <w:r w:rsidR="005552F8">
        <w:t>6</w:t>
      </w:r>
      <w:r w:rsidR="0058065E">
        <w:t>% pro Jahr bis 20</w:t>
      </w:r>
      <w:r w:rsidR="005552F8">
        <w:t>30 erwartet</w:t>
      </w:r>
      <w:r w:rsidR="0058065E">
        <w:t xml:space="preserve">. </w:t>
      </w:r>
      <w:r w:rsidR="005552F8">
        <w:t xml:space="preserve">Wachstumstreiber sind vor allem </w:t>
      </w:r>
      <w:r w:rsidR="00DC651E">
        <w:t xml:space="preserve">die </w:t>
      </w:r>
      <w:r w:rsidR="005552F8">
        <w:t>zunehmende Wichtigkeit von Hyper-Personalisierung von Kunden</w:t>
      </w:r>
      <w:r w:rsidR="002D682C">
        <w:t>d</w:t>
      </w:r>
      <w:r w:rsidR="005552F8">
        <w:t xml:space="preserve">ienstleistungen, die Verbesserung oder Automatisierung von Prozessen durch künstliche Intelligenz und </w:t>
      </w:r>
      <w:r w:rsidR="00DC651E">
        <w:t xml:space="preserve">der </w:t>
      </w:r>
      <w:proofErr w:type="spellStart"/>
      <w:r w:rsidR="005552F8">
        <w:t>Social</w:t>
      </w:r>
      <w:proofErr w:type="spellEnd"/>
      <w:r w:rsidR="005552F8">
        <w:t>-Media</w:t>
      </w:r>
      <w:r w:rsidR="00B95FA9">
        <w:t>-</w:t>
      </w:r>
      <w:r w:rsidR="005552F8">
        <w:t>Kundenservice</w:t>
      </w:r>
      <w:r w:rsidR="00DC651E">
        <w:t>.</w:t>
      </w:r>
    </w:p>
    <w:p w14:paraId="49CB6C2A" w14:textId="7A47A126" w:rsidR="00DC651E" w:rsidRDefault="00DC651E" w:rsidP="00422477">
      <w:pPr>
        <w:pStyle w:val="Listenabsatz"/>
      </w:pPr>
    </w:p>
    <w:p w14:paraId="015D747C" w14:textId="1254BF92" w:rsidR="00422477" w:rsidRDefault="00DC651E" w:rsidP="0002237C">
      <w:pPr>
        <w:pStyle w:val="Listenabsatz"/>
      </w:pPr>
      <w:r>
        <w:t xml:space="preserve">Der Markt für CRM ist </w:t>
      </w:r>
      <w:r w:rsidR="00FF29D4">
        <w:t>attraktiv,</w:t>
      </w:r>
      <w:r>
        <w:t xml:space="preserve"> aber auch stark umkämpft. </w:t>
      </w:r>
      <w:r w:rsidR="00F43CA0">
        <w:t>Sales</w:t>
      </w:r>
      <w:r w:rsidR="0011210E">
        <w:t>force</w:t>
      </w:r>
      <w:r w:rsidR="00F43CA0">
        <w:t xml:space="preserve"> konkurriert unter anderem </w:t>
      </w:r>
      <w:r w:rsidR="00D64D2B">
        <w:t>mit breiten</w:t>
      </w:r>
      <w:r w:rsidR="0011210E">
        <w:t xml:space="preserve"> Softwareanbieter</w:t>
      </w:r>
      <w:r w:rsidR="00D64D2B">
        <w:t>n</w:t>
      </w:r>
      <w:r w:rsidR="0011210E">
        <w:t xml:space="preserve"> wie </w:t>
      </w:r>
      <w:r w:rsidR="00F43CA0">
        <w:t xml:space="preserve">Microsoft (Dynamics </w:t>
      </w:r>
      <w:r w:rsidR="00D64D2B">
        <w:t>3</w:t>
      </w:r>
      <w:r w:rsidR="00F43CA0">
        <w:t xml:space="preserve">65), </w:t>
      </w:r>
      <w:r w:rsidR="00D64D2B">
        <w:t>Oracle und SAP</w:t>
      </w:r>
      <w:r w:rsidR="00223752">
        <w:t>.</w:t>
      </w:r>
      <w:r w:rsidR="001F3B78">
        <w:t xml:space="preserve"> </w:t>
      </w:r>
      <w:r w:rsidR="00D64D2B">
        <w:t xml:space="preserve"> </w:t>
      </w:r>
      <w:r w:rsidR="00223752">
        <w:t xml:space="preserve"> </w:t>
      </w:r>
      <w:r w:rsidR="001F3B78">
        <w:t>Nichtsdestotrotz</w:t>
      </w:r>
      <w:r w:rsidR="00D64D2B">
        <w:t xml:space="preserve"> kann sich Salesforce laut </w:t>
      </w:r>
      <w:r w:rsidR="00223752">
        <w:t xml:space="preserve">IDC </w:t>
      </w:r>
      <w:r w:rsidR="00D64D2B">
        <w:t xml:space="preserve">weiterhin </w:t>
      </w:r>
      <w:r w:rsidR="00223752">
        <w:t xml:space="preserve">als </w:t>
      </w:r>
      <w:r w:rsidR="00D64D2B">
        <w:t>Marktführer im CRM-Markt</w:t>
      </w:r>
      <w:r w:rsidR="00223752">
        <w:t xml:space="preserve"> behaupten</w:t>
      </w:r>
      <w:r w:rsidR="00D64D2B">
        <w:t>.</w:t>
      </w:r>
    </w:p>
    <w:p w14:paraId="2A0A79F9" w14:textId="77777777" w:rsidR="00D64D2B" w:rsidRDefault="00D64D2B" w:rsidP="00D64D2B">
      <w:pPr>
        <w:pStyle w:val="Listenabsatz"/>
      </w:pPr>
    </w:p>
    <w:p w14:paraId="16C987BF" w14:textId="1FAB830A" w:rsidR="00A4785E" w:rsidRDefault="00E53349" w:rsidP="00A4785E">
      <w:pPr>
        <w:pStyle w:val="Listenabsatz"/>
        <w:numPr>
          <w:ilvl w:val="0"/>
          <w:numId w:val="1"/>
        </w:numPr>
      </w:pPr>
      <w:r>
        <w:t>Unternehmensqualität &amp; Wettbewerbsvorteile (</w:t>
      </w:r>
      <w:r w:rsidR="00A4785E">
        <w:t>Business-</w:t>
      </w:r>
      <w:r>
        <w:t>Quality</w:t>
      </w:r>
      <w:r w:rsidR="00A4785E">
        <w:t xml:space="preserve"> &amp; Moat</w:t>
      </w:r>
      <w:r>
        <w:t>)</w:t>
      </w:r>
    </w:p>
    <w:p w14:paraId="53A49041" w14:textId="681F74DA" w:rsidR="00214E38" w:rsidRDefault="00214E38" w:rsidP="00214E38">
      <w:pPr>
        <w:pStyle w:val="Listenabsatz"/>
      </w:pPr>
    </w:p>
    <w:p w14:paraId="3E509763" w14:textId="0D83E5BD" w:rsidR="00214E38" w:rsidRDefault="00214E38" w:rsidP="00214E38">
      <w:pPr>
        <w:pStyle w:val="Listenabsatz"/>
      </w:pPr>
      <w:r>
        <w:t>Abgesehen davon, dass Salesforce Marktführer im CRM-Markt ist, weist das Unternehmen einige weitere Qualitäten auf. Das Abonnement</w:t>
      </w:r>
      <w:r w:rsidR="00490083">
        <w:t xml:space="preserve">modell </w:t>
      </w:r>
      <w:r>
        <w:t xml:space="preserve">ermöglicht regelmäßig wiederkehrende Zahlungen, die </w:t>
      </w:r>
      <w:r w:rsidR="00C7499C">
        <w:t>die Planbarkeit der Umsätze erhöh</w:t>
      </w:r>
      <w:r w:rsidR="00B95FA9">
        <w:t>en</w:t>
      </w:r>
      <w:r>
        <w:t xml:space="preserve">. Das Unternehmen ist nicht nur in einem Bereich tätig, sondern bietet Lösungen für Vertrieb, Kundensupport, Marketing, Daten-Analysen und </w:t>
      </w:r>
      <w:r w:rsidR="00B95FA9">
        <w:t>Automatisierungen an</w:t>
      </w:r>
      <w:r>
        <w:t>.</w:t>
      </w:r>
      <w:r w:rsidR="00490083">
        <w:t xml:space="preserve"> Dadurch kann Salesforce durch Cross-Selling mehr Umsatz generieren. Hinzu kommt, dass das Unternehmen eine Plattform anbietet</w:t>
      </w:r>
      <w:r w:rsidR="000A65AE">
        <w:t>,</w:t>
      </w:r>
      <w:r w:rsidR="00490083">
        <w:t xml:space="preserve"> </w:t>
      </w:r>
      <w:r w:rsidR="00B95FA9">
        <w:t>auf de</w:t>
      </w:r>
      <w:r w:rsidR="000A65AE">
        <w:t>r</w:t>
      </w:r>
      <w:r w:rsidR="00B95FA9">
        <w:t xml:space="preserve"> Unternehmen</w:t>
      </w:r>
      <w:r w:rsidR="00490083">
        <w:t xml:space="preserve"> eigene Prozesse automatisieren können.</w:t>
      </w:r>
    </w:p>
    <w:p w14:paraId="45CD6059" w14:textId="1FB7456C" w:rsidR="00214E38" w:rsidRDefault="00490083" w:rsidP="00214E38">
      <w:pPr>
        <w:pStyle w:val="Listenabsatz"/>
      </w:pPr>
      <w:r>
        <w:t>All dies macht es für Unternehmen schwer</w:t>
      </w:r>
      <w:r w:rsidR="00214E38">
        <w:t xml:space="preserve">, sich komplett von Salesforce zu lösen, weil das Ökosystem von Salesforce bereits in vielen Unternehmen tief verankert ist und ein vollständiger Wechsel </w:t>
      </w:r>
      <w:r>
        <w:t xml:space="preserve">sehr </w:t>
      </w:r>
      <w:r w:rsidR="00214E38">
        <w:t>aufwendig wäre.</w:t>
      </w:r>
    </w:p>
    <w:p w14:paraId="11ADB82D" w14:textId="5F5FC504" w:rsidR="0002237C" w:rsidRDefault="00605E82" w:rsidP="00992D56">
      <w:pPr>
        <w:pStyle w:val="Listenabsatz"/>
      </w:pPr>
      <w:r>
        <w:t xml:space="preserve">Ein weiterer </w:t>
      </w:r>
      <w:r w:rsidR="00C7499C">
        <w:t>Qualitäts- und Vertrauensfaktor</w:t>
      </w:r>
      <w:r>
        <w:t xml:space="preserve"> von Salesforce ist die hohe Priorität von Datenschutz. Besonders bei Unternehmen, die mit vielen und sensiblen Unternehmensdaten arbeite</w:t>
      </w:r>
      <w:r w:rsidR="00B95FA9">
        <w:t>n</w:t>
      </w:r>
      <w:r>
        <w:t xml:space="preserve">, ist Datenschutz essenziell. Das Unternehmen hat ein eigenes Programm entworfen, um Cybersicherheit zu </w:t>
      </w:r>
      <w:r w:rsidR="00B95FA9">
        <w:t>stärke</w:t>
      </w:r>
      <w:r>
        <w:t xml:space="preserve">n und beschäftigt darüber hinaus Experten mit langjähriger Erfahrung in dem Bereich. Dieser hohe Stellenwert von Sicherheit schafft Vertrauen und das ist eine wichtige Grundlage für Kundengewinnung und Kundenbindung. </w:t>
      </w:r>
    </w:p>
    <w:p w14:paraId="3588EF96" w14:textId="77777777" w:rsidR="00FF29D4" w:rsidRDefault="00FF29D4" w:rsidP="00FF29D4">
      <w:pPr>
        <w:pStyle w:val="Listenabsatz"/>
      </w:pPr>
    </w:p>
    <w:p w14:paraId="76FD54B6" w14:textId="798A910C" w:rsidR="00A4785E" w:rsidRDefault="00DC2EE5" w:rsidP="00A4785E">
      <w:pPr>
        <w:pStyle w:val="Listenabsatz"/>
        <w:numPr>
          <w:ilvl w:val="0"/>
          <w:numId w:val="1"/>
        </w:numPr>
      </w:pPr>
      <w:r>
        <w:t>Finanzanalyse &amp; Kapitalallokation (</w:t>
      </w:r>
      <w:r w:rsidR="00A4785E">
        <w:t xml:space="preserve">Financial Analysis </w:t>
      </w:r>
      <w:r>
        <w:t xml:space="preserve">&amp; Capital </w:t>
      </w:r>
      <w:proofErr w:type="spellStart"/>
      <w:r>
        <w:t>Allocation</w:t>
      </w:r>
      <w:proofErr w:type="spellEnd"/>
      <w:r>
        <w:t>)</w:t>
      </w:r>
    </w:p>
    <w:p w14:paraId="75FC70F3" w14:textId="77777777" w:rsidR="001C2E16" w:rsidRDefault="001C2E16" w:rsidP="001C2E16">
      <w:pPr>
        <w:pStyle w:val="Listenabsatz"/>
      </w:pPr>
    </w:p>
    <w:p w14:paraId="3E577910" w14:textId="5A95AF28" w:rsidR="00A93E6C" w:rsidRDefault="00A45BD3" w:rsidP="00A93E6C">
      <w:pPr>
        <w:pStyle w:val="Listenabsatz"/>
      </w:pPr>
      <w:r>
        <w:t xml:space="preserve">Salesforce konnte in den letzten vier Jahren ein Umsatzwachstum in Höhe von 11,8% </w:t>
      </w:r>
      <w:proofErr w:type="spellStart"/>
      <w:r w:rsidR="00531C23">
        <w:t>p.a</w:t>
      </w:r>
      <w:proofErr w:type="spellEnd"/>
      <w:r w:rsidR="00531C23">
        <w:t xml:space="preserve"> </w:t>
      </w:r>
      <w:r>
        <w:t xml:space="preserve">verzeichnen. </w:t>
      </w:r>
      <w:r w:rsidR="006E4379">
        <w:t>Der Nettogewinn ist</w:t>
      </w:r>
      <w:r w:rsidR="003F1376">
        <w:t xml:space="preserve"> in den letzten 3 Jahren um jeweils mehr als 20% gewachsen. Im FY</w:t>
      </w:r>
      <w:r w:rsidR="00531C23">
        <w:rPr>
          <w:rStyle w:val="Funotenzeichen"/>
        </w:rPr>
        <w:footnoteReference w:id="1"/>
      </w:r>
      <w:r w:rsidR="003F1376">
        <w:t xml:space="preserve"> 2022 und 2023 sind die Gewinne stark gesunken, haben sich jedoch in den letzten Jahren stark erhöht. Seit FY 2022 </w:t>
      </w:r>
      <w:r w:rsidR="00554F4F">
        <w:t>ist der Nettogewinn</w:t>
      </w:r>
      <w:r w:rsidR="003F1376">
        <w:t xml:space="preserve"> pro Jahr um etwa 50% </w:t>
      </w:r>
      <w:proofErr w:type="spellStart"/>
      <w:r w:rsidR="003F1376">
        <w:t>p.a</w:t>
      </w:r>
      <w:proofErr w:type="spellEnd"/>
      <w:r w:rsidR="003F1376">
        <w:t xml:space="preserve"> gewachsen.</w:t>
      </w:r>
      <w:r>
        <w:t xml:space="preserve"> </w:t>
      </w:r>
      <w:r w:rsidR="00A57F12">
        <w:t>Auch d</w:t>
      </w:r>
      <w:r>
        <w:t xml:space="preserve">er Operating </w:t>
      </w:r>
      <w:r w:rsidR="00A57F12">
        <w:t>Cashflow</w:t>
      </w:r>
      <w:r>
        <w:t xml:space="preserve"> zeigt ein </w:t>
      </w:r>
      <w:r w:rsidR="003E3C4E">
        <w:t xml:space="preserve">deutliches </w:t>
      </w:r>
      <w:r>
        <w:t xml:space="preserve">Wachstum von </w:t>
      </w:r>
      <w:r w:rsidR="003E3C4E">
        <w:t>25,7% p.a</w:t>
      </w:r>
      <w:r w:rsidR="00A57F12">
        <w:t>. Besonders stark gewachsen ist im vergangenen Jahr der Produktbereich „</w:t>
      </w:r>
      <w:proofErr w:type="spellStart"/>
      <w:r w:rsidR="00A57F12" w:rsidRPr="00A57F12">
        <w:t>Agentforce</w:t>
      </w:r>
      <w:proofErr w:type="spellEnd"/>
      <w:r w:rsidR="00A57F12" w:rsidRPr="00A57F12">
        <w:t xml:space="preserve"> 360 </w:t>
      </w:r>
      <w:proofErr w:type="spellStart"/>
      <w:r w:rsidR="00A57F12" w:rsidRPr="00A57F12">
        <w:t>Platform</w:t>
      </w:r>
      <w:proofErr w:type="spellEnd"/>
      <w:r w:rsidR="00A57F12" w:rsidRPr="00A57F12">
        <w:t xml:space="preserve">, Slack </w:t>
      </w:r>
      <w:r w:rsidR="00A93E6C">
        <w:t>and Other“. Dieses Wachstum wurde zum Teil jedoch durch den Umsatzbeitrag des übernommenen Unternehmens „Informatica“ beeinflusst. Dennoch deutet dies darauf hin</w:t>
      </w:r>
      <w:r w:rsidR="0071539D">
        <w:t>, dass es für Unternehmen zunehmend wichtiger wird, eigene Anwendungen, Workflows und Automatisierung in bestehende Geschäftsprozesse zu verknüpfen.</w:t>
      </w:r>
      <w:r w:rsidR="00A93E6C">
        <w:t xml:space="preserve"> Außerdem zeigen </w:t>
      </w:r>
      <w:r w:rsidR="00FB20FA">
        <w:t>RPO (</w:t>
      </w:r>
      <w:proofErr w:type="spellStart"/>
      <w:r w:rsidR="00A93E6C">
        <w:t>remaining</w:t>
      </w:r>
      <w:proofErr w:type="spellEnd"/>
      <w:r w:rsidR="00A93E6C">
        <w:t xml:space="preserve"> </w:t>
      </w:r>
      <w:proofErr w:type="spellStart"/>
      <w:r w:rsidR="00A93E6C">
        <w:t>performance</w:t>
      </w:r>
      <w:proofErr w:type="spellEnd"/>
      <w:r w:rsidR="00A93E6C">
        <w:t xml:space="preserve"> </w:t>
      </w:r>
      <w:proofErr w:type="spellStart"/>
      <w:r w:rsidR="00A93E6C">
        <w:t>obligation</w:t>
      </w:r>
      <w:proofErr w:type="spellEnd"/>
      <w:r w:rsidR="00A93E6C">
        <w:t xml:space="preserve">) bzw. </w:t>
      </w:r>
      <w:proofErr w:type="spellStart"/>
      <w:r w:rsidR="00A93E6C">
        <w:t>cRPO</w:t>
      </w:r>
      <w:proofErr w:type="spellEnd"/>
      <w:r w:rsidR="00A93E6C">
        <w:t xml:space="preserve"> (</w:t>
      </w:r>
      <w:proofErr w:type="spellStart"/>
      <w:r w:rsidR="00A93E6C">
        <w:t>current</w:t>
      </w:r>
      <w:proofErr w:type="spellEnd"/>
      <w:r w:rsidR="00A93E6C">
        <w:t xml:space="preserve"> </w:t>
      </w:r>
      <w:proofErr w:type="spellStart"/>
      <w:r w:rsidR="00A93E6C">
        <w:t>remaining</w:t>
      </w:r>
      <w:proofErr w:type="spellEnd"/>
      <w:r w:rsidR="00A93E6C">
        <w:t xml:space="preserve"> </w:t>
      </w:r>
      <w:proofErr w:type="spellStart"/>
      <w:r w:rsidR="00A93E6C">
        <w:t>performance</w:t>
      </w:r>
      <w:proofErr w:type="spellEnd"/>
      <w:r w:rsidR="00A93E6C">
        <w:t xml:space="preserve"> </w:t>
      </w:r>
      <w:proofErr w:type="spellStart"/>
      <w:r w:rsidR="00A93E6C">
        <w:t>obligation</w:t>
      </w:r>
      <w:proofErr w:type="spellEnd"/>
      <w:r w:rsidR="00A93E6C">
        <w:t xml:space="preserve"> = ausstehende vertraglich festgelegte Umsätze, die</w:t>
      </w:r>
      <w:r w:rsidR="00554F4F">
        <w:t xml:space="preserve"> bei Salesforce</w:t>
      </w:r>
      <w:r w:rsidR="00A93E6C">
        <w:t xml:space="preserve"> bis </w:t>
      </w:r>
      <w:r w:rsidR="00B116E2">
        <w:t>31.</w:t>
      </w:r>
      <w:r w:rsidR="00A93E6C">
        <w:t>Jänner 202</w:t>
      </w:r>
      <w:r w:rsidR="00B116E2">
        <w:t xml:space="preserve">7 </w:t>
      </w:r>
      <w:r w:rsidR="002B5131">
        <w:t>voraussichtlich als Umsatz erfasst werden</w:t>
      </w:r>
      <w:r w:rsidR="00A93E6C">
        <w:t>) ein deutliches Wachstum. Ersteres ist um 14% auf ungefähr 72,4 Milliarden Dollar gestiegen und zweiteres um 16% auf ungefähr 35,1 Milliarden Dollar gewachsen.</w:t>
      </w:r>
    </w:p>
    <w:p w14:paraId="554F4F49" w14:textId="77777777" w:rsidR="001C2E16" w:rsidRDefault="001C2E16" w:rsidP="00A93E6C">
      <w:pPr>
        <w:pStyle w:val="Listenabsatz"/>
      </w:pPr>
    </w:p>
    <w:p w14:paraId="16328379" w14:textId="5D351502" w:rsidR="00E8710B" w:rsidRDefault="001C2E16" w:rsidP="002B5131">
      <w:pPr>
        <w:pStyle w:val="Listenabsatz"/>
      </w:pPr>
      <w:r>
        <w:t xml:space="preserve">Salesforce weist eine Brutto-Marge in Höhe von 77,68% im </w:t>
      </w:r>
      <w:r w:rsidR="002B5131">
        <w:t>FY 2026</w:t>
      </w:r>
      <w:r>
        <w:t xml:space="preserve"> aus. Wichtig ist außerdem zu erwähnen, dass die Brutt</w:t>
      </w:r>
      <w:r w:rsidR="00554F4F">
        <w:t>om</w:t>
      </w:r>
      <w:r>
        <w:t>argen in den letzten 3 Jahren kontinuierlich leicht gestiegen</w:t>
      </w:r>
      <w:r w:rsidR="00554F4F">
        <w:t xml:space="preserve"> sind</w:t>
      </w:r>
      <w:r>
        <w:t xml:space="preserve">. Dies deutet darauf hin, dass das Softwaregeschäft grundsätzlich gut skalierbar ist. Auch die Operating Margin zeigt </w:t>
      </w:r>
      <w:r w:rsidR="00D34F66">
        <w:t xml:space="preserve">eine </w:t>
      </w:r>
      <w:r w:rsidR="003F1376">
        <w:t>deutliche</w:t>
      </w:r>
      <w:r w:rsidR="00D34F66">
        <w:t xml:space="preserve"> Verbesserung</w:t>
      </w:r>
      <w:r>
        <w:t xml:space="preserve">: diese ist </w:t>
      </w:r>
      <w:r w:rsidR="00D34F66">
        <w:t>von 2-3%</w:t>
      </w:r>
      <w:r w:rsidR="002B5131">
        <w:t xml:space="preserve"> im</w:t>
      </w:r>
      <w:r w:rsidR="00D34F66">
        <w:t xml:space="preserve"> </w:t>
      </w:r>
      <w:r w:rsidR="002B5131">
        <w:t xml:space="preserve">FY </w:t>
      </w:r>
      <w:r w:rsidR="00D34F66">
        <w:t xml:space="preserve">2022/2023 auf 20% im </w:t>
      </w:r>
      <w:r w:rsidR="002B5131">
        <w:t>FY 2026</w:t>
      </w:r>
      <w:r w:rsidR="00D34F66">
        <w:t xml:space="preserve"> gestiegen</w:t>
      </w:r>
      <w:r w:rsidR="00C8773D">
        <w:t>.</w:t>
      </w:r>
      <w:r w:rsidR="003F1376">
        <w:t xml:space="preserve"> </w:t>
      </w:r>
      <w:r w:rsidR="00D34F66">
        <w:t>Dies unterstreich</w:t>
      </w:r>
      <w:r w:rsidR="00C8773D">
        <w:t>t</w:t>
      </w:r>
      <w:r w:rsidR="00D34F66">
        <w:t xml:space="preserve"> die Profitabilität des Unternehmens.</w:t>
      </w:r>
    </w:p>
    <w:p w14:paraId="00B01495" w14:textId="77777777" w:rsidR="00E8710B" w:rsidRDefault="00E8710B" w:rsidP="00E8710B">
      <w:pPr>
        <w:pStyle w:val="Listenabsatz"/>
      </w:pPr>
    </w:p>
    <w:p w14:paraId="4000BBE9" w14:textId="1A3473F7" w:rsidR="00BC0E27" w:rsidRDefault="00920A95" w:rsidP="00B95FA9">
      <w:pPr>
        <w:pStyle w:val="Listenabsatz"/>
      </w:pPr>
      <w:r>
        <w:t xml:space="preserve">Der Operating Cashflow ist in den letzten Jahren stark gewachsen. Von FY 2022 auf FY 2026 wuchs der OCF um 25,7 % p.a. Im gleichen Zeitraum stieg auch der Free-Cashflow um 28,5% p.a. Die Free-Cashflow Marge </w:t>
      </w:r>
      <w:r w:rsidR="003122ED">
        <w:t>verbesserte sich von</w:t>
      </w:r>
      <w:r>
        <w:t xml:space="preserve"> 19,94</w:t>
      </w:r>
      <w:r w:rsidR="003122ED">
        <w:t>%</w:t>
      </w:r>
      <w:r>
        <w:t xml:space="preserve"> auf etwa 34,68%. Somit wird deutlich, dass nicht nur der Cashflow stark gestiegen ist, sondern auch </w:t>
      </w:r>
      <w:r w:rsidR="00F10781">
        <w:t>dass ein große</w:t>
      </w:r>
      <w:r w:rsidR="00C32712">
        <w:t>r Teil des Umsatzes</w:t>
      </w:r>
      <w:r w:rsidR="003122ED">
        <w:t xml:space="preserve"> </w:t>
      </w:r>
      <w:r w:rsidR="00C32712">
        <w:t xml:space="preserve">als FCF </w:t>
      </w:r>
      <w:r w:rsidR="003122ED">
        <w:t>übrig bleibt</w:t>
      </w:r>
      <w:r>
        <w:t>.</w:t>
      </w:r>
      <w:r w:rsidR="003122ED">
        <w:t xml:space="preserve"> </w:t>
      </w:r>
      <w:r w:rsidR="003122ED" w:rsidRPr="003122ED">
        <w:t xml:space="preserve">Die FCF </w:t>
      </w:r>
      <w:proofErr w:type="spellStart"/>
      <w:r w:rsidR="003122ED" w:rsidRPr="003122ED">
        <w:t>Conversion</w:t>
      </w:r>
      <w:proofErr w:type="spellEnd"/>
      <w:r w:rsidR="003122ED" w:rsidRPr="003122ED">
        <w:t xml:space="preserve"> von </w:t>
      </w:r>
      <w:proofErr w:type="spellStart"/>
      <w:r w:rsidR="003122ED" w:rsidRPr="003122ED">
        <w:t>ca</w:t>
      </w:r>
      <w:proofErr w:type="spellEnd"/>
      <w:r w:rsidR="003122ED" w:rsidRPr="003122ED">
        <w:t xml:space="preserve"> 200% zeigt, dass das Unternehmen einen deutlichen höheren FCF </w:t>
      </w:r>
      <w:r w:rsidR="00554F4F">
        <w:t>im Vergleich</w:t>
      </w:r>
      <w:r w:rsidR="003122ED" w:rsidRPr="003122ED">
        <w:t xml:space="preserve"> zum Net Income ausweist. </w:t>
      </w:r>
      <w:r w:rsidR="000C2A4A">
        <w:t>Gründe</w:t>
      </w:r>
      <w:r w:rsidR="003122ED" w:rsidRPr="003122ED">
        <w:t xml:space="preserve"> dafür sind </w:t>
      </w:r>
      <w:r w:rsidR="003122ED">
        <w:t>Amortisationen/Abschreibungen</w:t>
      </w:r>
      <w:r w:rsidR="000C2A4A">
        <w:t xml:space="preserve"> und</w:t>
      </w:r>
      <w:r w:rsidR="003122ED">
        <w:t xml:space="preserve"> </w:t>
      </w:r>
      <w:r w:rsidR="003122ED" w:rsidRPr="003122ED">
        <w:t xml:space="preserve">Stock </w:t>
      </w:r>
      <w:proofErr w:type="spellStart"/>
      <w:r w:rsidR="003122ED" w:rsidRPr="003122ED">
        <w:t>Based</w:t>
      </w:r>
      <w:proofErr w:type="spellEnd"/>
      <w:r w:rsidR="003122ED" w:rsidRPr="003122ED">
        <w:t xml:space="preserve"> </w:t>
      </w:r>
      <w:proofErr w:type="spellStart"/>
      <w:r w:rsidR="003122ED" w:rsidRPr="003122ED">
        <w:t>Compensation</w:t>
      </w:r>
      <w:proofErr w:type="spellEnd"/>
      <w:r w:rsidR="003122ED">
        <w:t>. Letzteres hat</w:t>
      </w:r>
      <w:r w:rsidR="003122ED" w:rsidRPr="003122ED">
        <w:t xml:space="preserve"> in den letzten 5 Jahren durchschnittlich 9% des Umsatzes ausgemacht</w:t>
      </w:r>
      <w:r w:rsidR="003122ED">
        <w:t>.</w:t>
      </w:r>
      <w:r w:rsidR="000C2A4A">
        <w:t xml:space="preserve"> Die hohe Stock </w:t>
      </w:r>
      <w:proofErr w:type="spellStart"/>
      <w:r w:rsidR="000C2A4A">
        <w:t>Based</w:t>
      </w:r>
      <w:proofErr w:type="spellEnd"/>
      <w:r w:rsidR="000C2A4A">
        <w:t xml:space="preserve"> </w:t>
      </w:r>
      <w:proofErr w:type="spellStart"/>
      <w:r w:rsidR="000C2A4A">
        <w:t>Compensation</w:t>
      </w:r>
      <w:proofErr w:type="spellEnd"/>
      <w:r w:rsidR="000C2A4A">
        <w:t xml:space="preserve"> soll</w:t>
      </w:r>
      <w:r w:rsidR="00C32712">
        <w:t>te</w:t>
      </w:r>
      <w:r w:rsidR="000C2A4A">
        <w:t xml:space="preserve"> kritisch betrachtet werden</w:t>
      </w:r>
      <w:r w:rsidR="00C32712">
        <w:t xml:space="preserve">. Es fließt zwar kein tatsächliches Cash ab, </w:t>
      </w:r>
      <w:r w:rsidR="00347FE3">
        <w:t>kann aber zu Verwässerung führen</w:t>
      </w:r>
      <w:r w:rsidR="00C32712">
        <w:t>.</w:t>
      </w:r>
      <w:r w:rsidR="000C2A4A">
        <w:t xml:space="preserve"> </w:t>
      </w:r>
      <w:r w:rsidR="00C32712">
        <w:t>Außerdem</w:t>
      </w:r>
      <w:r w:rsidR="000C2A4A">
        <w:t xml:space="preserve"> führt die niedrige </w:t>
      </w:r>
      <w:proofErr w:type="spellStart"/>
      <w:r w:rsidR="000C2A4A">
        <w:t>CapEx</w:t>
      </w:r>
      <w:proofErr w:type="spellEnd"/>
      <w:r w:rsidR="000C2A4A">
        <w:t xml:space="preserve"> Intensität von etwa 2% des Umsatzes dazu, dass der Großteil </w:t>
      </w:r>
      <w:r w:rsidR="000C2A4A">
        <w:lastRenderedPageBreak/>
        <w:t xml:space="preserve">des OCF als FCF </w:t>
      </w:r>
      <w:r w:rsidR="00C32712">
        <w:t>übrig bleibt</w:t>
      </w:r>
      <w:r w:rsidR="000C2A4A">
        <w:t>.</w:t>
      </w:r>
      <w:r w:rsidR="00C8773D">
        <w:t xml:space="preserve"> Wichtig ist außerdem zu erwähnen, dass </w:t>
      </w:r>
      <w:proofErr w:type="spellStart"/>
      <w:r w:rsidR="00C8773D">
        <w:t>unearned</w:t>
      </w:r>
      <w:proofErr w:type="spellEnd"/>
      <w:r w:rsidR="00C8773D">
        <w:t xml:space="preserve"> </w:t>
      </w:r>
      <w:proofErr w:type="spellStart"/>
      <w:r w:rsidR="00C8773D">
        <w:t>revenue</w:t>
      </w:r>
      <w:proofErr w:type="spellEnd"/>
      <w:r w:rsidR="00C8773D">
        <w:t xml:space="preserve"> von 2025 auf 2026 um </w:t>
      </w:r>
      <w:r w:rsidR="004074E9">
        <w:t xml:space="preserve">3574 Mio. USD gestiegen ist. </w:t>
      </w:r>
      <w:proofErr w:type="spellStart"/>
      <w:r w:rsidR="004074E9">
        <w:t>Unearned</w:t>
      </w:r>
      <w:proofErr w:type="spellEnd"/>
      <w:r w:rsidR="004074E9">
        <w:t xml:space="preserve"> Revenue sind </w:t>
      </w:r>
      <w:r w:rsidR="00C32712">
        <w:t>bereits erhaltene Kundenzahlungen</w:t>
      </w:r>
      <w:r w:rsidR="000C2A4A">
        <w:t>,</w:t>
      </w:r>
      <w:r w:rsidR="004074E9">
        <w:t xml:space="preserve"> </w:t>
      </w:r>
      <w:r w:rsidR="00347FE3">
        <w:t>für die die Leistung</w:t>
      </w:r>
      <w:r w:rsidR="004074E9">
        <w:t xml:space="preserve"> </w:t>
      </w:r>
      <w:r w:rsidR="00C32712">
        <w:t xml:space="preserve">noch nicht vollständig </w:t>
      </w:r>
      <w:r w:rsidR="004074E9">
        <w:t>erbracht w</w:t>
      </w:r>
      <w:r w:rsidR="00347FE3">
        <w:t xml:space="preserve">urde </w:t>
      </w:r>
      <w:r w:rsidR="00C32712">
        <w:t xml:space="preserve">und daher noch nicht </w:t>
      </w:r>
      <w:r w:rsidR="00347FE3">
        <w:t>als</w:t>
      </w:r>
      <w:r w:rsidR="00C32712">
        <w:t xml:space="preserve"> Umsatz </w:t>
      </w:r>
      <w:r w:rsidR="00347FE3">
        <w:t>erfasst</w:t>
      </w:r>
      <w:r w:rsidR="00554F4F">
        <w:t xml:space="preserve"> wurden</w:t>
      </w:r>
      <w:r w:rsidR="004074E9">
        <w:t xml:space="preserve">. </w:t>
      </w:r>
      <w:r w:rsidR="00347FE3" w:rsidRPr="00347FE3">
        <w:t xml:space="preserve">Eine positive Veränderung </w:t>
      </w:r>
      <w:r w:rsidR="00347FE3">
        <w:t>des</w:t>
      </w:r>
      <w:r w:rsidR="00347FE3" w:rsidRPr="00347FE3">
        <w:t xml:space="preserve"> </w:t>
      </w:r>
      <w:proofErr w:type="spellStart"/>
      <w:r w:rsidR="00347FE3" w:rsidRPr="00347FE3">
        <w:t>unearned</w:t>
      </w:r>
      <w:proofErr w:type="spellEnd"/>
      <w:r w:rsidR="00347FE3" w:rsidRPr="00347FE3">
        <w:t xml:space="preserve"> </w:t>
      </w:r>
      <w:proofErr w:type="spellStart"/>
      <w:r w:rsidR="00347FE3" w:rsidRPr="00347FE3">
        <w:t>revenue</w:t>
      </w:r>
      <w:proofErr w:type="spellEnd"/>
      <w:r w:rsidR="00347FE3" w:rsidRPr="00347FE3">
        <w:t xml:space="preserve"> </w:t>
      </w:r>
      <w:r w:rsidR="00347FE3">
        <w:t>wirkt sich positiv auf den OCF aus</w:t>
      </w:r>
      <w:r w:rsidR="00347FE3" w:rsidRPr="00347FE3">
        <w:t xml:space="preserve">, jedoch wird nur der </w:t>
      </w:r>
      <w:r w:rsidR="00347FE3">
        <w:t>bereits erbrachte Teil der Leistung</w:t>
      </w:r>
      <w:r w:rsidR="00347FE3" w:rsidRPr="00347FE3">
        <w:t xml:space="preserve"> i</w:t>
      </w:r>
      <w:r w:rsidR="00347FE3">
        <w:t xml:space="preserve">n der GuV </w:t>
      </w:r>
      <w:r w:rsidR="00347FE3" w:rsidRPr="00347FE3">
        <w:t>erfasst.</w:t>
      </w:r>
      <w:r w:rsidR="00347FE3">
        <w:t xml:space="preserve"> </w:t>
      </w:r>
      <w:r w:rsidR="00C32712">
        <w:t>Dadurch wird der OCF im Vergleich zum Net Income zusätzlich gestützt.</w:t>
      </w:r>
    </w:p>
    <w:p w14:paraId="509E6816" w14:textId="77777777" w:rsidR="00B95FA9" w:rsidRDefault="00B95FA9" w:rsidP="00B95FA9">
      <w:pPr>
        <w:pStyle w:val="Listenabsatz"/>
      </w:pPr>
    </w:p>
    <w:p w14:paraId="72F8AA31" w14:textId="09DABD57" w:rsidR="00BC0E27" w:rsidRDefault="00BC0E27" w:rsidP="00C778B9">
      <w:pPr>
        <w:pStyle w:val="Listenabsatz"/>
      </w:pPr>
      <w:r>
        <w:t xml:space="preserve">Salesforce weist in ihrer Bilanz im Quartalsbericht Cash (+ </w:t>
      </w:r>
      <w:proofErr w:type="spellStart"/>
      <w:r>
        <w:t>short</w:t>
      </w:r>
      <w:proofErr w:type="spellEnd"/>
      <w:r>
        <w:t>-term Investments) Bestände in Höhe von 11</w:t>
      </w:r>
      <w:r w:rsidR="00613596">
        <w:t>,</w:t>
      </w:r>
      <w:r>
        <w:t xml:space="preserve">837 </w:t>
      </w:r>
      <w:r w:rsidR="00613596">
        <w:t>M</w:t>
      </w:r>
      <w:r w:rsidR="00554F4F">
        <w:t>rd.</w:t>
      </w:r>
      <w:r w:rsidR="00613596">
        <w:t xml:space="preserve"> USD </w:t>
      </w:r>
      <w:r>
        <w:t xml:space="preserve">aus. Die Bestände sind höher als noch im FY 2026, jedoch unter dem Niveau von FY 2023 und 2024. </w:t>
      </w:r>
    </w:p>
    <w:p w14:paraId="72457389" w14:textId="463662EA" w:rsidR="00C778B9" w:rsidRDefault="00BC0E27" w:rsidP="00B95FA9">
      <w:pPr>
        <w:pStyle w:val="Listenabsatz"/>
      </w:pPr>
      <w:r>
        <w:t>Besonders wichtig is</w:t>
      </w:r>
      <w:r w:rsidR="00DD0240">
        <w:t>t</w:t>
      </w:r>
      <w:r>
        <w:t xml:space="preserve">, dass die </w:t>
      </w:r>
      <w:r w:rsidR="00613596">
        <w:t>zinstragenden</w:t>
      </w:r>
      <w:r>
        <w:t xml:space="preserve"> </w:t>
      </w:r>
      <w:r w:rsidR="00613596">
        <w:t>Gesamts</w:t>
      </w:r>
      <w:r>
        <w:t>chulden von 1</w:t>
      </w:r>
      <w:r w:rsidR="00613596">
        <w:t>4,</w:t>
      </w:r>
      <w:r>
        <w:t>429</w:t>
      </w:r>
      <w:r w:rsidR="00613596">
        <w:t xml:space="preserve"> M</w:t>
      </w:r>
      <w:r w:rsidR="00554F4F">
        <w:t xml:space="preserve">rd. </w:t>
      </w:r>
      <w:r>
        <w:t>auf 39</w:t>
      </w:r>
      <w:r w:rsidR="00613596">
        <w:t>,</w:t>
      </w:r>
      <w:r>
        <w:t>28</w:t>
      </w:r>
      <w:r w:rsidR="00613596">
        <w:t xml:space="preserve"> M</w:t>
      </w:r>
      <w:r w:rsidR="00554F4F">
        <w:t>rd.</w:t>
      </w:r>
      <w:r>
        <w:t xml:space="preserve"> gewachsen sind. Die Schulden wurden </w:t>
      </w:r>
      <w:r w:rsidR="00417B86">
        <w:t xml:space="preserve">laut dem 8-K Bericht </w:t>
      </w:r>
      <w:r>
        <w:t xml:space="preserve">aufgenommen, um damit </w:t>
      </w:r>
      <w:r w:rsidR="00606235">
        <w:t xml:space="preserve">eigene </w:t>
      </w:r>
      <w:r>
        <w:t>Aktien in Form eine</w:t>
      </w:r>
      <w:r w:rsidR="00606235">
        <w:t>s</w:t>
      </w:r>
      <w:r>
        <w:t xml:space="preserve"> beschleunigten </w:t>
      </w:r>
      <w:r w:rsidR="00606235">
        <w:t xml:space="preserve">Aktienrückkaufprogramms (ASR, </w:t>
      </w:r>
      <w:proofErr w:type="spellStart"/>
      <w:r w:rsidR="00606235">
        <w:t>accelerated</w:t>
      </w:r>
      <w:proofErr w:type="spellEnd"/>
      <w:r w:rsidR="00606235">
        <w:t xml:space="preserve"> </w:t>
      </w:r>
      <w:proofErr w:type="spellStart"/>
      <w:r w:rsidR="00606235">
        <w:t>share</w:t>
      </w:r>
      <w:proofErr w:type="spellEnd"/>
      <w:r w:rsidR="00606235">
        <w:t xml:space="preserve"> </w:t>
      </w:r>
      <w:proofErr w:type="spellStart"/>
      <w:r w:rsidR="00606235">
        <w:t>repurchase</w:t>
      </w:r>
      <w:proofErr w:type="spellEnd"/>
      <w:r w:rsidR="00606235">
        <w:t xml:space="preserve">) zu kaufen.  </w:t>
      </w:r>
      <w:r w:rsidR="00417B86">
        <w:t>Dies kann als Signal verstanden werden, dass das Management die Aktie als attraktiv bewertet sieht.</w:t>
      </w:r>
      <w:r w:rsidR="00606235">
        <w:t xml:space="preserve"> Jedoch verschlechtert sich dadurch die Interest Coverage Ratio auf geschätzt 5,8</w:t>
      </w:r>
      <w:r w:rsidR="00613596">
        <w:t>x</w:t>
      </w:r>
      <w:r w:rsidR="00606235">
        <w:t xml:space="preserve">. Diese ist immer noch solide, jedoch weit unter dem Niveau vor der letzten Schuldenaufnahme. Auch die </w:t>
      </w:r>
      <w:r w:rsidR="0003500F">
        <w:t xml:space="preserve">aktuelle </w:t>
      </w:r>
      <w:proofErr w:type="spellStart"/>
      <w:r w:rsidR="00606235">
        <w:t>Debt</w:t>
      </w:r>
      <w:proofErr w:type="spellEnd"/>
      <w:r w:rsidR="00606235">
        <w:t>/FCF</w:t>
      </w:r>
      <w:r w:rsidR="00DD0240">
        <w:t>-</w:t>
      </w:r>
      <w:r w:rsidR="00606235">
        <w:t>Ratio von 2,68 bestätigt das Bild: Salesforce hat eine immer noch solide Bilanz, jedoch war die Bilanz vor der neuesten Schuldenaufnahme konservativer. Zuletzt fällt der hohe Goodwill</w:t>
      </w:r>
      <w:r w:rsidR="00554F4F">
        <w:t>-Bestand</w:t>
      </w:r>
      <w:r w:rsidR="00417B86">
        <w:t xml:space="preserve"> </w:t>
      </w:r>
      <w:r w:rsidR="00554F4F">
        <w:t>von</w:t>
      </w:r>
      <w:r w:rsidR="00606235">
        <w:t xml:space="preserve"> 59,291</w:t>
      </w:r>
      <w:r w:rsidR="00613596">
        <w:t xml:space="preserve"> M</w:t>
      </w:r>
      <w:r w:rsidR="00554F4F">
        <w:t>rd.</w:t>
      </w:r>
      <w:r w:rsidR="00613596">
        <w:t xml:space="preserve"> USD</w:t>
      </w:r>
      <w:r w:rsidR="00417B86">
        <w:t xml:space="preserve"> auf</w:t>
      </w:r>
      <w:r w:rsidR="00606235">
        <w:t>. Dieser zeigt, dass das Unternehmen in der Vergangenheit durch Akquisitionen gewachsen ist. An sich ist das kein schlechtes Zeichen, jedoch birgt es Wertbericht</w:t>
      </w:r>
      <w:r w:rsidR="00613596">
        <w:t>ig</w:t>
      </w:r>
      <w:r w:rsidR="00606235">
        <w:t>ungsrisiken, falls frühere Übernahmen doch nicht die erwarteten Erträge liefern.</w:t>
      </w:r>
    </w:p>
    <w:p w14:paraId="7C2F84B8" w14:textId="77777777" w:rsidR="00D50B51" w:rsidRDefault="00D50B51" w:rsidP="00C778B9">
      <w:pPr>
        <w:pStyle w:val="Listenabsatz"/>
      </w:pPr>
    </w:p>
    <w:p w14:paraId="3353FDE1" w14:textId="68A54A14" w:rsidR="00D50B51" w:rsidRDefault="008155F3" w:rsidP="00C778B9">
      <w:pPr>
        <w:pStyle w:val="Listenabsatz"/>
      </w:pPr>
      <w:r>
        <w:t xml:space="preserve">Salesforce hat ab FY 2023 aggressiv Aktien zurückgekauft und dieser Trend wird mit ihrem beschleunigten Aktienrückkaufprogramm weitergeführt. Wichtig ist jedoch zu erwähnen, dass die hohe Stock </w:t>
      </w:r>
      <w:proofErr w:type="spellStart"/>
      <w:r>
        <w:t>Based</w:t>
      </w:r>
      <w:proofErr w:type="spellEnd"/>
      <w:r>
        <w:t xml:space="preserve"> </w:t>
      </w:r>
      <w:proofErr w:type="spellStart"/>
      <w:r>
        <w:t>Compensation</w:t>
      </w:r>
      <w:proofErr w:type="spellEnd"/>
      <w:r>
        <w:t xml:space="preserve"> sowie </w:t>
      </w:r>
      <w:proofErr w:type="spellStart"/>
      <w:r>
        <w:t>Issuance</w:t>
      </w:r>
      <w:proofErr w:type="spellEnd"/>
      <w:r>
        <w:t xml:space="preserve"> </w:t>
      </w:r>
      <w:proofErr w:type="spellStart"/>
      <w:r>
        <w:t>of</w:t>
      </w:r>
      <w:proofErr w:type="spellEnd"/>
      <w:r>
        <w:t xml:space="preserve"> </w:t>
      </w:r>
      <w:proofErr w:type="spellStart"/>
      <w:r>
        <w:t>common</w:t>
      </w:r>
      <w:proofErr w:type="spellEnd"/>
      <w:r>
        <w:t xml:space="preserve"> Stock </w:t>
      </w:r>
      <w:r w:rsidR="00DC306B">
        <w:t>den tatsächlichen Effekt der Aktienrückkäufe auf die Aktienanzahl</w:t>
      </w:r>
      <w:r w:rsidR="00204279">
        <w:t xml:space="preserve"> dämpfen</w:t>
      </w:r>
      <w:r>
        <w:t xml:space="preserve">. Die Stock </w:t>
      </w:r>
      <w:proofErr w:type="spellStart"/>
      <w:r>
        <w:t>Based</w:t>
      </w:r>
      <w:proofErr w:type="spellEnd"/>
      <w:r>
        <w:t xml:space="preserve"> </w:t>
      </w:r>
      <w:proofErr w:type="spellStart"/>
      <w:r>
        <w:t>Compensation</w:t>
      </w:r>
      <w:proofErr w:type="spellEnd"/>
      <w:r>
        <w:t xml:space="preserve"> lag zwischen FY 2022 und 2026 bei jeweils etwa 2,7 bis 3,5 M</w:t>
      </w:r>
      <w:r w:rsidR="00554F4F">
        <w:t>rd.</w:t>
      </w:r>
      <w:r>
        <w:t xml:space="preserve"> </w:t>
      </w:r>
      <w:r w:rsidR="00E939E8">
        <w:t xml:space="preserve">USD </w:t>
      </w:r>
      <w:r>
        <w:t xml:space="preserve">und </w:t>
      </w:r>
      <w:proofErr w:type="spellStart"/>
      <w:r>
        <w:t>Issuance</w:t>
      </w:r>
      <w:proofErr w:type="spellEnd"/>
      <w:r w:rsidR="00E939E8">
        <w:t xml:space="preserve"> </w:t>
      </w:r>
      <w:proofErr w:type="spellStart"/>
      <w:r>
        <w:t>of</w:t>
      </w:r>
      <w:proofErr w:type="spellEnd"/>
      <w:r w:rsidR="00DF6B83">
        <w:t xml:space="preserve"> Common</w:t>
      </w:r>
      <w:r>
        <w:t xml:space="preserve"> Stock bei </w:t>
      </w:r>
      <w:r w:rsidR="00E939E8">
        <w:t>durchschnittlich ca. 1,3 M</w:t>
      </w:r>
      <w:r w:rsidR="00554F4F">
        <w:t>rd.</w:t>
      </w:r>
      <w:r w:rsidR="00E939E8">
        <w:t xml:space="preserve"> USD. Dadurch </w:t>
      </w:r>
      <w:r w:rsidR="00DF6B83">
        <w:t>zeigte sich erst ab FY 2024 ein tatsächlicher Rückgang der verwässerten Aktienanzahl</w:t>
      </w:r>
      <w:r w:rsidR="00E939E8">
        <w:t xml:space="preserve">. Das bestätigt auch die Anzahl an Aktien (verwässert): diese ist ab FY 2024 um etwa 1% pro Jahr zurückgegangen. Besonders interessant ist die Entwicklung ab Q1 </w:t>
      </w:r>
      <w:r w:rsidR="00204279">
        <w:t xml:space="preserve">FY </w:t>
      </w:r>
      <w:r w:rsidR="00E939E8">
        <w:t>202</w:t>
      </w:r>
      <w:r w:rsidR="00204279">
        <w:t>7</w:t>
      </w:r>
      <w:r w:rsidR="00E939E8">
        <w:t xml:space="preserve">. Das Unternehmen hat hohe Schulden </w:t>
      </w:r>
      <w:r w:rsidR="00DC306B">
        <w:t>aufgenommen,</w:t>
      </w:r>
      <w:r w:rsidR="00E939E8">
        <w:t xml:space="preserve"> um mit </w:t>
      </w:r>
      <w:r w:rsidR="00DC306B">
        <w:t xml:space="preserve">dem </w:t>
      </w:r>
      <w:r w:rsidR="00E939E8">
        <w:t>dadurch gewonnene</w:t>
      </w:r>
      <w:r w:rsidR="00DC306B">
        <w:t>n</w:t>
      </w:r>
      <w:r w:rsidR="00E939E8">
        <w:t xml:space="preserve"> Geld eigene Aktien zurückzukaufen. </w:t>
      </w:r>
      <w:r w:rsidR="00424740">
        <w:t>Es</w:t>
      </w:r>
      <w:r w:rsidR="00E939E8">
        <w:t xml:space="preserve"> </w:t>
      </w:r>
      <w:r w:rsidR="00204279">
        <w:t>kann</w:t>
      </w:r>
      <w:r w:rsidR="00E939E8">
        <w:t xml:space="preserve"> aufgrund des beschleunigten Aktienrückkaufprogramm</w:t>
      </w:r>
      <w:r w:rsidR="00DF6B83">
        <w:t>s</w:t>
      </w:r>
      <w:r w:rsidR="00E939E8">
        <w:t xml:space="preserve"> (ASR, </w:t>
      </w:r>
      <w:proofErr w:type="spellStart"/>
      <w:r w:rsidR="00E939E8">
        <w:t>accelerated</w:t>
      </w:r>
      <w:proofErr w:type="spellEnd"/>
      <w:r w:rsidR="00E939E8">
        <w:t xml:space="preserve"> </w:t>
      </w:r>
      <w:proofErr w:type="spellStart"/>
      <w:r w:rsidR="00E939E8">
        <w:t>share</w:t>
      </w:r>
      <w:proofErr w:type="spellEnd"/>
      <w:r w:rsidR="00E939E8">
        <w:t xml:space="preserve"> </w:t>
      </w:r>
      <w:proofErr w:type="spellStart"/>
      <w:r w:rsidR="00E939E8">
        <w:t>repurchase</w:t>
      </w:r>
      <w:proofErr w:type="spellEnd"/>
      <w:r w:rsidR="00E939E8">
        <w:t>)</w:t>
      </w:r>
      <w:r w:rsidR="00204279">
        <w:t xml:space="preserve"> zu einem zusätzlichen Kaufdruck kommen</w:t>
      </w:r>
      <w:r w:rsidR="00E939E8">
        <w:t>.</w:t>
      </w:r>
    </w:p>
    <w:p w14:paraId="14B44402" w14:textId="08D29FB8" w:rsidR="00E939E8" w:rsidRDefault="00E939E8" w:rsidP="00C778B9">
      <w:pPr>
        <w:pStyle w:val="Listenabsatz"/>
      </w:pPr>
      <w:r>
        <w:t xml:space="preserve">Außerdem zahlt das Unternehmen ab FY 2025 Dividenden. </w:t>
      </w:r>
      <w:r w:rsidR="0003500F">
        <w:t xml:space="preserve">Die Dividendenrendite </w:t>
      </w:r>
      <w:r w:rsidR="00554F4F">
        <w:t>liegt</w:t>
      </w:r>
      <w:r w:rsidR="0003500F">
        <w:t xml:space="preserve"> aktuell ca</w:t>
      </w:r>
      <w:r>
        <w:t>.</w:t>
      </w:r>
      <w:r w:rsidR="0003500F">
        <w:t xml:space="preserve">1%. </w:t>
      </w:r>
      <w:r w:rsidR="00554F4F">
        <w:t xml:space="preserve">Mögliche zukünftige </w:t>
      </w:r>
      <w:r w:rsidR="00554F4F">
        <w:lastRenderedPageBreak/>
        <w:t>Dividendenerhöhungen könnten</w:t>
      </w:r>
      <w:r>
        <w:t xml:space="preserve"> </w:t>
      </w:r>
      <w:r w:rsidR="00204279">
        <w:t>ein wichtiger zusätzlicher Bestandteil der Aktionärsrendite sein.</w:t>
      </w:r>
    </w:p>
    <w:p w14:paraId="45D64CD3" w14:textId="0CC136CE" w:rsidR="00E939E8" w:rsidRDefault="00E939E8" w:rsidP="00C778B9">
      <w:pPr>
        <w:pStyle w:val="Listenabsatz"/>
      </w:pPr>
      <w:r>
        <w:t>Weiters ist interessant, dass d</w:t>
      </w:r>
      <w:r w:rsidR="00DC306B">
        <w:t>ie</w:t>
      </w:r>
      <w:r>
        <w:t xml:space="preserve"> </w:t>
      </w:r>
      <w:r w:rsidR="00DC306B">
        <w:t xml:space="preserve">Capital </w:t>
      </w:r>
      <w:proofErr w:type="spellStart"/>
      <w:r w:rsidR="00DC306B">
        <w:t>Expenditures</w:t>
      </w:r>
      <w:proofErr w:type="spellEnd"/>
      <w:r w:rsidR="00DC306B">
        <w:t xml:space="preserve"> des Unternehmens trotz steigender Umsätze des Unternehmens zurückgegangen sind. Neueste Zahlen zeigen eine kapitalleichte </w:t>
      </w:r>
      <w:proofErr w:type="spellStart"/>
      <w:r w:rsidR="00DC306B">
        <w:t>CapEx</w:t>
      </w:r>
      <w:proofErr w:type="spellEnd"/>
      <w:r w:rsidR="00DC306B">
        <w:t xml:space="preserve"> Quote von nur 1,3%. Die Investitionen in Forschung und Weiterentwicklung </w:t>
      </w:r>
      <w:r w:rsidR="00204279">
        <w:t>sind</w:t>
      </w:r>
      <w:r w:rsidR="00DF6B83">
        <w:t xml:space="preserve"> </w:t>
      </w:r>
      <w:r w:rsidR="00DC306B">
        <w:t>seit FY 2022 um 7,6% pro Jahr gestiegen und liegen somit trotzdem unter der jährlichen Entwicklung des Umsatzes. Außerdem ist wichtig zu erwähnen, dass das Unternehmen im FY 202</w:t>
      </w:r>
      <w:r w:rsidR="00204279">
        <w:t>6</w:t>
      </w:r>
      <w:r w:rsidR="00DC306B">
        <w:t xml:space="preserve"> </w:t>
      </w:r>
      <w:proofErr w:type="spellStart"/>
      <w:r w:rsidR="00DC306B">
        <w:t>ings</w:t>
      </w:r>
      <w:proofErr w:type="spellEnd"/>
      <w:r w:rsidR="00DC306B">
        <w:t>. 9,268 M</w:t>
      </w:r>
      <w:r w:rsidR="00554F4F">
        <w:t>rd.</w:t>
      </w:r>
      <w:r w:rsidR="00DC306B">
        <w:t xml:space="preserve"> USD </w:t>
      </w:r>
      <w:r w:rsidR="00DF6B83">
        <w:t>für Akquisitionen verwendet hat</w:t>
      </w:r>
      <w:r w:rsidR="00DC306B">
        <w:t>. Den Großteil davon, in der Höhe von 8,1 M</w:t>
      </w:r>
      <w:r w:rsidR="00554F4F">
        <w:t>rd.</w:t>
      </w:r>
      <w:r w:rsidR="00DC306B">
        <w:t xml:space="preserve"> USD, machte die Akquisition von Informatica aus. Das Unternehmen legt somit weiter großen Wert auf Wachstum durch Akquisitionen.  </w:t>
      </w:r>
    </w:p>
    <w:p w14:paraId="0D4FEC7E" w14:textId="77777777" w:rsidR="00D50B51" w:rsidRDefault="00D50B51" w:rsidP="00C778B9">
      <w:pPr>
        <w:pStyle w:val="Listenabsatz"/>
      </w:pPr>
    </w:p>
    <w:p w14:paraId="37F36CC9" w14:textId="77777777" w:rsidR="00072ADF" w:rsidRDefault="00072ADF" w:rsidP="00C778B9">
      <w:pPr>
        <w:pStyle w:val="Listenabsatz"/>
      </w:pPr>
    </w:p>
    <w:p w14:paraId="69AFBD31" w14:textId="766C5F11" w:rsidR="00A4785E" w:rsidRDefault="00E53349" w:rsidP="00A4785E">
      <w:pPr>
        <w:pStyle w:val="Listenabsatz"/>
        <w:numPr>
          <w:ilvl w:val="0"/>
          <w:numId w:val="1"/>
        </w:numPr>
      </w:pPr>
      <w:r>
        <w:t>Bewertung (</w:t>
      </w:r>
      <w:proofErr w:type="spellStart"/>
      <w:r w:rsidR="00A4785E">
        <w:t>Valuation</w:t>
      </w:r>
      <w:proofErr w:type="spellEnd"/>
      <w:r>
        <w:t>)</w:t>
      </w:r>
    </w:p>
    <w:p w14:paraId="551F00D2" w14:textId="217831F8" w:rsidR="003F6F0D" w:rsidRDefault="003F6F0D" w:rsidP="003F6F0D">
      <w:pPr>
        <w:pStyle w:val="Listenabsatz"/>
      </w:pPr>
      <w:r>
        <w:t xml:space="preserve">Die Bewertung basiert auf einer Free-Cashflow-orientierten Bewertung. Die Free-Cashflow Bewertung eignet sich gut, weil Salesforce einen starken und stabilen Cashflow vorweist. </w:t>
      </w:r>
      <w:r w:rsidR="009940BB" w:rsidRPr="009940BB">
        <w:t xml:space="preserve">Ergänzend wird mittels Reverse DCF überprüft, welche Wachstumsannahmen der aktuelle Marktpreis </w:t>
      </w:r>
      <w:r w:rsidR="009940BB">
        <w:t>einpreist.</w:t>
      </w:r>
    </w:p>
    <w:p w14:paraId="363D35A2" w14:textId="77777777" w:rsidR="003F6F0D" w:rsidRDefault="003F6F0D" w:rsidP="003F6F0D">
      <w:pPr>
        <w:pStyle w:val="Listenabsatz"/>
      </w:pPr>
    </w:p>
    <w:p w14:paraId="4B6876EA" w14:textId="2032597D" w:rsidR="003F6F0D" w:rsidRDefault="003F6F0D" w:rsidP="003F6F0D">
      <w:pPr>
        <w:pStyle w:val="Listenabsatz"/>
      </w:pPr>
      <w:r>
        <w:t>Für die Bewertung verwende ich als Basis den Free-Cashflow aus FY 2026 in der Höhe von 14,402 M</w:t>
      </w:r>
      <w:r w:rsidR="00424740">
        <w:t>rd.</w:t>
      </w:r>
      <w:r>
        <w:t xml:space="preserve"> USD</w:t>
      </w:r>
      <w:r w:rsidR="00FB1684">
        <w:t xml:space="preserve"> abzüglich der Stock </w:t>
      </w:r>
      <w:proofErr w:type="spellStart"/>
      <w:r w:rsidR="00FB1684">
        <w:t>Based</w:t>
      </w:r>
      <w:proofErr w:type="spellEnd"/>
      <w:r w:rsidR="00FB1684">
        <w:t xml:space="preserve"> </w:t>
      </w:r>
      <w:proofErr w:type="spellStart"/>
      <w:r w:rsidR="00FB1684">
        <w:t>Compensation</w:t>
      </w:r>
      <w:proofErr w:type="spellEnd"/>
      <w:r w:rsidR="00FB1684">
        <w:t xml:space="preserve"> in Höhe von 3,509 M</w:t>
      </w:r>
      <w:r w:rsidR="00424740">
        <w:t>rd.</w:t>
      </w:r>
      <w:r w:rsidR="00FB1684">
        <w:t xml:space="preserve"> USD</w:t>
      </w:r>
      <w:r>
        <w:t xml:space="preserve">. </w:t>
      </w:r>
      <w:r w:rsidR="00424740">
        <w:t>Da der verwendete Free</w:t>
      </w:r>
      <w:r w:rsidR="00722156">
        <w:t>-</w:t>
      </w:r>
      <w:r w:rsidR="00424740">
        <w:t xml:space="preserve">Cashflow bereits Zinszahlungen berücksichtigt, wird ein Equity-FCF-Ansatz verwendet. Ein zusätzlicher Abzug der Nettoverschuldung erfolgt daher nicht. </w:t>
      </w:r>
      <w:r>
        <w:t>Für die Berechnung des fairen Werts je Aktie wird die verwässerte Aktienanzahl von rund 931 Mio. Aktien verwendet.</w:t>
      </w:r>
      <w:r w:rsidR="00E66401">
        <w:t xml:space="preserve"> </w:t>
      </w:r>
      <w:r w:rsidR="0056006E">
        <w:t xml:space="preserve">Die </w:t>
      </w:r>
      <w:r w:rsidR="00E66401">
        <w:t>neu aufgenommen</w:t>
      </w:r>
      <w:r w:rsidR="000A65AE">
        <w:t>en</w:t>
      </w:r>
      <w:r w:rsidR="00E66401">
        <w:t xml:space="preserve"> Schulden und </w:t>
      </w:r>
      <w:r w:rsidR="00424740">
        <w:t>d</w:t>
      </w:r>
      <w:r w:rsidR="0056006E">
        <w:t>ie</w:t>
      </w:r>
      <w:r w:rsidR="00424740">
        <w:t xml:space="preserve"> damit</w:t>
      </w:r>
      <w:r w:rsidR="00E66401">
        <w:t xml:space="preserve"> einhergehenden Zinszahlungen </w:t>
      </w:r>
      <w:r w:rsidR="0056006E">
        <w:t>führen im FY 2027 zu einem geringeren FCF-Wachstum.</w:t>
      </w:r>
    </w:p>
    <w:p w14:paraId="1F8DD7F7" w14:textId="4A63244B" w:rsidR="000B4231" w:rsidRDefault="000B4231" w:rsidP="003F6F0D">
      <w:pPr>
        <w:pStyle w:val="Listenabsatz"/>
      </w:pPr>
    </w:p>
    <w:p w14:paraId="7E4C1E24" w14:textId="32808900" w:rsidR="000B4231" w:rsidRDefault="000B4231" w:rsidP="003F6F0D">
      <w:pPr>
        <w:pStyle w:val="Listenabsatz"/>
      </w:pPr>
      <w:r>
        <w:t xml:space="preserve">Für die Bewertung unterstelle ich drei Szenarien. Im Base Case unterstelle ich, dass der FCF </w:t>
      </w:r>
      <w:r w:rsidR="00E66401">
        <w:t>im nächsten Jahr um 4,5%, in den Jahren 2-5 um 8% und im Jahr 6-10 um 5,5% steigen wird. Im Bear Case gehe ich von einem Wachstum im nächsten Jahr von 3,5%, in den Jahren 2-5 von 5% und in den Jahren 6-10 von 3,5% aus. Im optimistischen Bull Case gehe ich von einem starken Wachstum vor allem durch KI aus und komme so auf ein Wachstum im nächsten Jahr von 6%, in den Jahren 2-5 von 12% und in den Jahren 6-10 von 9%. D</w:t>
      </w:r>
      <w:r w:rsidR="00F1375B">
        <w:t>ie</w:t>
      </w:r>
      <w:r w:rsidR="00E66401">
        <w:t xml:space="preserve"> Terminal </w:t>
      </w:r>
      <w:r w:rsidR="00424740">
        <w:t>Growth Rate</w:t>
      </w:r>
      <w:r w:rsidR="00F1375B">
        <w:t xml:space="preserve"> </w:t>
      </w:r>
      <w:r w:rsidR="00E66401">
        <w:t>schätze ich im Base Case auf 2,5%, im Bear Case auf 2% und im Bull Case auf 3%</w:t>
      </w:r>
      <w:r w:rsidR="00424740">
        <w:t>.</w:t>
      </w:r>
    </w:p>
    <w:p w14:paraId="6E836BE0" w14:textId="77777777" w:rsidR="00E66401" w:rsidRDefault="00E66401" w:rsidP="003F6F0D">
      <w:pPr>
        <w:pStyle w:val="Listenabsatz"/>
      </w:pPr>
    </w:p>
    <w:p w14:paraId="0185D4C3" w14:textId="733F43E6" w:rsidR="00E66401" w:rsidRDefault="00E66401" w:rsidP="003F6F0D">
      <w:pPr>
        <w:pStyle w:val="Listenabsatz"/>
      </w:pPr>
      <w:r>
        <w:t>Laut dem Capital Asset Pricing Model (CAPM) erg</w:t>
      </w:r>
      <w:r w:rsidR="009940BB">
        <w:t>eben</w:t>
      </w:r>
      <w:r>
        <w:t xml:space="preserve"> sich für Salesforce </w:t>
      </w:r>
      <w:r w:rsidR="00F1375B">
        <w:t>die Eigenkapitalkosten</w:t>
      </w:r>
      <w:r>
        <w:t xml:space="preserve"> von </w:t>
      </w:r>
      <w:r w:rsidR="00FE6B3A">
        <w:t>gerundet 10%. Diesen Wert verwende ich als Diskontsatz für die drei Szenarien.</w:t>
      </w:r>
    </w:p>
    <w:p w14:paraId="26BF8116" w14:textId="77777777" w:rsidR="00FE6B3A" w:rsidRDefault="00FE6B3A" w:rsidP="003F6F0D">
      <w:pPr>
        <w:pStyle w:val="Listenabsatz"/>
      </w:pPr>
    </w:p>
    <w:p w14:paraId="5EBAA9BF" w14:textId="26B734E7" w:rsidR="00FE6B3A" w:rsidRDefault="00FE6B3A" w:rsidP="003F6F0D">
      <w:pPr>
        <w:pStyle w:val="Listenabsatz"/>
      </w:pPr>
      <w:r>
        <w:lastRenderedPageBreak/>
        <w:t>Die prognostizierten F</w:t>
      </w:r>
      <w:r w:rsidR="00424740">
        <w:t>r</w:t>
      </w:r>
      <w:r>
        <w:t xml:space="preserve">ee-Cashflows der Jahre 1-10 werden mit einem Diskontsatz von 10% abgezinst. Für die Cashflows ab Jahr 11 wird ein Terminal Value berechnet, der auch auf heute abgezinst wird. Geteilt durch die Aktienanzahl (verwässert) ergibt sich ein fairer Wert im Base Case von </w:t>
      </w:r>
      <w:proofErr w:type="spellStart"/>
      <w:r>
        <w:t>ca</w:t>
      </w:r>
      <w:proofErr w:type="spellEnd"/>
      <w:r>
        <w:t xml:space="preserve"> 2</w:t>
      </w:r>
      <w:r w:rsidR="00FB1684">
        <w:t>14</w:t>
      </w:r>
      <w:r>
        <w:t xml:space="preserve"> USD, im Bear Case von </w:t>
      </w:r>
      <w:r w:rsidR="00FB1684">
        <w:t>174</w:t>
      </w:r>
      <w:r>
        <w:t xml:space="preserve"> USD und im Bull Case von </w:t>
      </w:r>
      <w:proofErr w:type="spellStart"/>
      <w:r>
        <w:t>ca</w:t>
      </w:r>
      <w:proofErr w:type="spellEnd"/>
      <w:r>
        <w:t xml:space="preserve"> </w:t>
      </w:r>
      <w:r w:rsidR="00FB1684">
        <w:t xml:space="preserve">288 </w:t>
      </w:r>
      <w:r>
        <w:t>USD.</w:t>
      </w:r>
    </w:p>
    <w:p w14:paraId="78A4DBE1" w14:textId="77777777" w:rsidR="00FB1684" w:rsidRDefault="00FB1684" w:rsidP="003F6F0D">
      <w:pPr>
        <w:pStyle w:val="Listenabsatz"/>
      </w:pPr>
    </w:p>
    <w:p w14:paraId="3BA97D5F" w14:textId="03CE76AC" w:rsidR="00FB1684" w:rsidRDefault="0006296C" w:rsidP="003F6F0D">
      <w:pPr>
        <w:pStyle w:val="Listenabsatz"/>
      </w:pPr>
      <w:r>
        <w:t xml:space="preserve">Auf Basis der getroffenen Annahmen ist Salesforce </w:t>
      </w:r>
      <w:r w:rsidR="00FB1684">
        <w:t xml:space="preserve">im Base Case unterbewertet. </w:t>
      </w:r>
      <w:r w:rsidR="00F1375B">
        <w:t xml:space="preserve">Ausgehend von einem aktuellen Aktienkurs von rund </w:t>
      </w:r>
      <w:r w:rsidR="00EC46D7">
        <w:t xml:space="preserve">166 USD </w:t>
      </w:r>
      <w:r w:rsidR="001C0A92">
        <w:t>beträgt</w:t>
      </w:r>
      <w:r w:rsidR="00EC46D7">
        <w:t xml:space="preserve"> das Aufwärtspotenzial zum Base Case rund 29%</w:t>
      </w:r>
      <w:r w:rsidR="00FB1684">
        <w:t>.</w:t>
      </w:r>
      <w:r w:rsidR="00EC46D7">
        <w:t xml:space="preserve"> Sogar der Bear Case von ca</w:t>
      </w:r>
      <w:r w:rsidR="001C0A92">
        <w:t>.</w:t>
      </w:r>
      <w:r w:rsidR="00EC46D7">
        <w:t xml:space="preserve"> 174 USD liegt leicht über dem aktuellen Kurs.</w:t>
      </w:r>
    </w:p>
    <w:p w14:paraId="0C658308" w14:textId="77777777" w:rsidR="009940BB" w:rsidRDefault="009940BB" w:rsidP="003F6F0D">
      <w:pPr>
        <w:pStyle w:val="Listenabsatz"/>
      </w:pPr>
    </w:p>
    <w:p w14:paraId="4C15BF57" w14:textId="16C263E7" w:rsidR="00CC5103" w:rsidRDefault="00CC5103" w:rsidP="003F6F0D">
      <w:pPr>
        <w:pStyle w:val="Listenabsatz"/>
      </w:pPr>
      <w:r>
        <w:t>Da ein DCF stark von Diskontsatz abhängt, wird ergänzend eine Sensi</w:t>
      </w:r>
      <w:r w:rsidR="00722156">
        <w:t>ti</w:t>
      </w:r>
      <w:r>
        <w:t xml:space="preserve">vitätsanalyse durchgeführt. Für den Base Case wird der Diskontsatz um jeweils einen Prozentpunkt verändert. Bei einem um </w:t>
      </w:r>
      <w:r w:rsidR="00424740">
        <w:t>einen Prozentpunkt</w:t>
      </w:r>
      <w:r>
        <w:t xml:space="preserve"> erhöhten Diskontsatz von 11% sinkt der faire Wert auf rund 187 USD. Bei einem um </w:t>
      </w:r>
      <w:r w:rsidR="00424740">
        <w:t>einen Prozentpunkt</w:t>
      </w:r>
      <w:r>
        <w:t xml:space="preserve"> geringerem Diskontsatz steigt der faire Wert auf rund 249 U</w:t>
      </w:r>
      <w:r w:rsidR="008E635E">
        <w:t>SD. Dadurch wird deutlich, dass der faire Wert im Base Case nicht als exakter Wert, sondern als Bewertungsspanne zu interpretieren ist.</w:t>
      </w:r>
    </w:p>
    <w:p w14:paraId="00FD7067" w14:textId="77777777" w:rsidR="00CC5103" w:rsidRDefault="00CC5103" w:rsidP="003F6F0D">
      <w:pPr>
        <w:pStyle w:val="Listenabsatz"/>
      </w:pPr>
    </w:p>
    <w:p w14:paraId="6B2C9975" w14:textId="010B874E" w:rsidR="009940BB" w:rsidRDefault="009940BB" w:rsidP="003F6F0D">
      <w:pPr>
        <w:pStyle w:val="Listenabsatz"/>
      </w:pPr>
      <w:r>
        <w:t xml:space="preserve">Aufgrund der fehlenden Vergleichbarkeit wird auf eine ausführliche Multiple-Bewertung verzichtet. Stattdessen </w:t>
      </w:r>
      <w:r w:rsidR="001C0A92">
        <w:t>wird</w:t>
      </w:r>
      <w:r>
        <w:t xml:space="preserve"> ein Reverse DCF </w:t>
      </w:r>
      <w:r w:rsidR="00032A78">
        <w:t>verwendet, um zu zeigen, welches Wachstum der Markt aktuell einpreist.</w:t>
      </w:r>
    </w:p>
    <w:p w14:paraId="29F4D5A3" w14:textId="77777777" w:rsidR="00FE7479" w:rsidRDefault="00FE7479" w:rsidP="003F6F0D">
      <w:pPr>
        <w:pStyle w:val="Listenabsatz"/>
      </w:pPr>
    </w:p>
    <w:p w14:paraId="1CEADAE8" w14:textId="41B0E6F0" w:rsidR="00FE7479" w:rsidRDefault="00FE7479" w:rsidP="003F6F0D">
      <w:pPr>
        <w:pStyle w:val="Listenabsatz"/>
      </w:pPr>
      <w:r>
        <w:t>Bei einem Kurs von 1</w:t>
      </w:r>
      <w:r w:rsidR="00EC46D7">
        <w:t>66</w:t>
      </w:r>
      <w:r>
        <w:t xml:space="preserve"> multipliziert mit der </w:t>
      </w:r>
      <w:r w:rsidR="000B0294">
        <w:t xml:space="preserve">im </w:t>
      </w:r>
      <w:r w:rsidR="0021737A">
        <w:t xml:space="preserve">Modell verwendeten </w:t>
      </w:r>
      <w:r>
        <w:t xml:space="preserve">Aktienanzahl (verwässert) kommt man auf einen Equity Value von </w:t>
      </w:r>
      <w:r w:rsidR="00EC46D7">
        <w:t>154,5</w:t>
      </w:r>
      <w:r>
        <w:t xml:space="preserve"> M</w:t>
      </w:r>
      <w:r w:rsidR="00424740">
        <w:t>rd</w:t>
      </w:r>
      <w:r w:rsidR="00EC46D7">
        <w:t>. USD</w:t>
      </w:r>
      <w:r>
        <w:t xml:space="preserve">. Bei Verwendung eines Diskontsatzes </w:t>
      </w:r>
      <w:r w:rsidR="00972162">
        <w:t>von 10%,</w:t>
      </w:r>
      <w:r>
        <w:t xml:space="preserve"> einem Terminal Value Growth von 2,5% und einem Start FCF von 10,893 Mrd. USD kommt man auf eine jährliche Wachstumsrate von </w:t>
      </w:r>
      <w:proofErr w:type="spellStart"/>
      <w:r>
        <w:t>ca</w:t>
      </w:r>
      <w:proofErr w:type="spellEnd"/>
      <w:r>
        <w:t xml:space="preserve"> </w:t>
      </w:r>
      <w:r w:rsidR="0057349A">
        <w:t>3</w:t>
      </w:r>
      <w:r>
        <w:t xml:space="preserve">% über 10 Jahre. Dadurch wird deutlich, dass der </w:t>
      </w:r>
      <w:r w:rsidR="00424740">
        <w:t xml:space="preserve">aktuelle Aktienkurs eine jährliche Wachstumsrate von </w:t>
      </w:r>
      <w:proofErr w:type="spellStart"/>
      <w:r w:rsidR="00424740">
        <w:t>ca</w:t>
      </w:r>
      <w:proofErr w:type="spellEnd"/>
      <w:r w:rsidR="00424740">
        <w:t xml:space="preserve"> </w:t>
      </w:r>
      <w:r w:rsidR="0057349A">
        <w:t>3</w:t>
      </w:r>
      <w:r w:rsidR="00EC46D7">
        <w:t>%</w:t>
      </w:r>
      <w:r w:rsidR="00424740">
        <w:t xml:space="preserve"> über 10 Jahre einpreist.</w:t>
      </w:r>
    </w:p>
    <w:p w14:paraId="2C6EAE30" w14:textId="77777777" w:rsidR="003F6F0D" w:rsidRDefault="003F6F0D" w:rsidP="003F6F0D">
      <w:pPr>
        <w:pStyle w:val="Listenabsatz"/>
      </w:pPr>
    </w:p>
    <w:p w14:paraId="256EBBB2" w14:textId="7A94330E" w:rsidR="00DE17F9" w:rsidRDefault="00E53349" w:rsidP="00A4785E">
      <w:pPr>
        <w:pStyle w:val="Listenabsatz"/>
        <w:numPr>
          <w:ilvl w:val="0"/>
          <w:numId w:val="1"/>
        </w:numPr>
      </w:pPr>
      <w:r>
        <w:t>Anlagerisiken (</w:t>
      </w:r>
      <w:r w:rsidR="00DE17F9">
        <w:t>Investment</w:t>
      </w:r>
      <w:r w:rsidR="00DC2EE5">
        <w:t xml:space="preserve"> </w:t>
      </w:r>
      <w:proofErr w:type="spellStart"/>
      <w:r w:rsidR="00DE17F9">
        <w:t>Risk</w:t>
      </w:r>
      <w:r w:rsidR="00DC2EE5">
        <w:t>s</w:t>
      </w:r>
      <w:proofErr w:type="spellEnd"/>
      <w:r>
        <w:t>)</w:t>
      </w:r>
    </w:p>
    <w:p w14:paraId="18A4ED85" w14:textId="77777777" w:rsidR="00EA28E2" w:rsidRDefault="00EA28E2" w:rsidP="00EA28E2">
      <w:pPr>
        <w:pStyle w:val="Listenabsatz"/>
      </w:pPr>
    </w:p>
    <w:p w14:paraId="7698D2BE" w14:textId="68F56336" w:rsidR="00EA28E2" w:rsidRDefault="00EA28E2" w:rsidP="00EA28E2">
      <w:pPr>
        <w:pStyle w:val="Listenabsatz"/>
      </w:pPr>
      <w:r>
        <w:t xml:space="preserve">Ein zentrales Risiko </w:t>
      </w:r>
      <w:r w:rsidR="00FB5184">
        <w:t xml:space="preserve">für Salesforce ist das </w:t>
      </w:r>
      <w:proofErr w:type="spellStart"/>
      <w:r w:rsidR="00FB5184">
        <w:t>Cybersecurity</w:t>
      </w:r>
      <w:proofErr w:type="spellEnd"/>
      <w:r w:rsidR="00FB5184">
        <w:t>- und Datenschutzrisiko</w:t>
      </w:r>
      <w:r>
        <w:t xml:space="preserve">. </w:t>
      </w:r>
      <w:r w:rsidR="00FB5184">
        <w:t xml:space="preserve">Salesforce verarbeitet </w:t>
      </w:r>
      <w:r w:rsidR="00E03A9E">
        <w:t>große</w:t>
      </w:r>
      <w:r w:rsidR="00FB5184">
        <w:t xml:space="preserve"> Mengen sensibler Unternehmens- und Kundendaten. </w:t>
      </w:r>
      <w:r>
        <w:t>Falls es zu einem</w:t>
      </w:r>
      <w:r w:rsidR="0006296C">
        <w:t xml:space="preserve"> erfolgreichen</w:t>
      </w:r>
      <w:r>
        <w:t xml:space="preserve"> Cyberangriff kommt, </w:t>
      </w:r>
      <w:r w:rsidR="00E03A9E">
        <w:t>könnte dies</w:t>
      </w:r>
      <w:r>
        <w:t xml:space="preserve"> das Vertrauen in Salesforce </w:t>
      </w:r>
      <w:r w:rsidR="00E03A9E">
        <w:t>erheblich beschädigen</w:t>
      </w:r>
      <w:r>
        <w:t xml:space="preserve">. </w:t>
      </w:r>
      <w:r w:rsidR="00FB5184">
        <w:t>Als Folge könnten U</w:t>
      </w:r>
      <w:r>
        <w:t xml:space="preserve">nternehmen ihre Verträge mit Salesforce reduzieren oder </w:t>
      </w:r>
      <w:r w:rsidR="001112EF">
        <w:t>kündigen</w:t>
      </w:r>
      <w:r>
        <w:t xml:space="preserve">, was zu einem </w:t>
      </w:r>
      <w:r w:rsidR="00FB5184">
        <w:t>Rückgang</w:t>
      </w:r>
      <w:r>
        <w:t xml:space="preserve"> de</w:t>
      </w:r>
      <w:r w:rsidR="00FB5184">
        <w:t>s</w:t>
      </w:r>
      <w:r>
        <w:t xml:space="preserve"> </w:t>
      </w:r>
      <w:r w:rsidR="00FB5184">
        <w:t>Umsatzes</w:t>
      </w:r>
      <w:r>
        <w:t xml:space="preserve"> führen würde.</w:t>
      </w:r>
    </w:p>
    <w:p w14:paraId="3E25DDEF" w14:textId="77777777" w:rsidR="00914278" w:rsidRDefault="00914278" w:rsidP="00EA28E2">
      <w:pPr>
        <w:pStyle w:val="Listenabsatz"/>
      </w:pPr>
    </w:p>
    <w:p w14:paraId="34788557" w14:textId="2EF47970" w:rsidR="00EA28E2" w:rsidRDefault="00EA28E2" w:rsidP="00EA28E2">
      <w:pPr>
        <w:pStyle w:val="Listenabsatz"/>
      </w:pPr>
      <w:r>
        <w:t xml:space="preserve">Ein weiteres Risiko </w:t>
      </w:r>
      <w:r w:rsidR="00FB5184">
        <w:t>besteht in der schnellen Entwicklung künstliche</w:t>
      </w:r>
      <w:r w:rsidR="00170369">
        <w:t>r</w:t>
      </w:r>
      <w:r w:rsidR="00FB5184">
        <w:t xml:space="preserve"> Intelligenz. </w:t>
      </w:r>
      <w:r>
        <w:t xml:space="preserve"> </w:t>
      </w:r>
      <w:r w:rsidR="0006296C">
        <w:t xml:space="preserve">KI-basierte Alternativen könnten einzelne Software Funktionen teilweise ersetzen </w:t>
      </w:r>
      <w:r w:rsidR="0006296C">
        <w:lastRenderedPageBreak/>
        <w:t>und dadurch die Nachfrage nach bestimmten Bereichen schwächen</w:t>
      </w:r>
      <w:r w:rsidR="00FB5184">
        <w:t xml:space="preserve">. Gleichzeitig sehe ich jedoch einen vollständigen Ersatz von Salesforce als unwahrscheinlich, da die Plattform tief in Unternehmensprozesse verankert ist und die </w:t>
      </w:r>
      <w:r w:rsidR="00E03A9E">
        <w:t xml:space="preserve">Umstellungskosten </w:t>
      </w:r>
      <w:r w:rsidR="00FB5184">
        <w:t xml:space="preserve">für Unternehmen zu hoch </w:t>
      </w:r>
      <w:r w:rsidR="00E03A9E">
        <w:t>wären.</w:t>
      </w:r>
    </w:p>
    <w:p w14:paraId="5666E447" w14:textId="77777777" w:rsidR="00914278" w:rsidRDefault="00914278" w:rsidP="00EA28E2">
      <w:pPr>
        <w:pStyle w:val="Listenabsatz"/>
      </w:pPr>
    </w:p>
    <w:p w14:paraId="574491F0" w14:textId="22E19826" w:rsidR="00914278" w:rsidRDefault="00914278" w:rsidP="00EA28E2">
      <w:pPr>
        <w:pStyle w:val="Listenabsatz"/>
      </w:pPr>
      <w:r>
        <w:t xml:space="preserve">Weiters </w:t>
      </w:r>
      <w:r w:rsidR="00FB5184">
        <w:t>besteht das Risiko, dass</w:t>
      </w:r>
      <w:r>
        <w:t xml:space="preserve"> wichtige Wachstumstreiber wie </w:t>
      </w:r>
      <w:proofErr w:type="spellStart"/>
      <w:r>
        <w:t>Agentforce</w:t>
      </w:r>
      <w:proofErr w:type="spellEnd"/>
      <w:r w:rsidR="001112EF">
        <w:t>, Data 360</w:t>
      </w:r>
      <w:r>
        <w:t xml:space="preserve"> und Slack nicht </w:t>
      </w:r>
      <w:r w:rsidR="00E03A9E">
        <w:t>ausreichend monetarisiert werden</w:t>
      </w:r>
      <w:r>
        <w:t xml:space="preserve">. </w:t>
      </w:r>
      <w:r w:rsidR="001112EF">
        <w:t xml:space="preserve">Falls Kunden nicht bereit sind, für die neuen KI-Funktionen mehr Geld zu zahlen, könnte das erwartete Wachstum ausbleiben. </w:t>
      </w:r>
    </w:p>
    <w:p w14:paraId="5CD47995" w14:textId="77777777" w:rsidR="00FB5184" w:rsidRDefault="00FB5184" w:rsidP="00EA28E2">
      <w:pPr>
        <w:pStyle w:val="Listenabsatz"/>
      </w:pPr>
    </w:p>
    <w:p w14:paraId="36147E2C" w14:textId="10F93EB3" w:rsidR="00FB5184" w:rsidRDefault="00FB5184" w:rsidP="00EA28E2">
      <w:pPr>
        <w:pStyle w:val="Listenabsatz"/>
      </w:pPr>
      <w:r>
        <w:t>Ein weiteres Risiko ist</w:t>
      </w:r>
      <w:r w:rsidR="001112EF">
        <w:t xml:space="preserve"> der intensive Wettbewerb im CRM-</w:t>
      </w:r>
      <w:r w:rsidR="00E03A9E">
        <w:t xml:space="preserve"> und </w:t>
      </w:r>
      <w:r w:rsidR="001112EF">
        <w:t>Unternehmenssoftwaremarkt sowie in der Entwicklung von KI-Lösungen</w:t>
      </w:r>
      <w:r>
        <w:t xml:space="preserve">. </w:t>
      </w:r>
      <w:r w:rsidR="001112EF">
        <w:t xml:space="preserve">Salesforce konkurriert unter anderem mit </w:t>
      </w:r>
      <w:r w:rsidR="0006296C">
        <w:t>Microsoft, Oracle, SAP sowie spezialisierten</w:t>
      </w:r>
      <w:r w:rsidR="001112EF">
        <w:t xml:space="preserve"> SaaS-Unternehmen. Dies könnte dazu führen, dass die Preissetzungsmacht von Salesforce </w:t>
      </w:r>
      <w:r w:rsidR="00170369">
        <w:t>geschwächt</w:t>
      </w:r>
      <w:r w:rsidR="001112EF">
        <w:t xml:space="preserve"> wird, die Neukundengewinnung schwerer wird oder dass Kunden alternative Lösungen bevorzugen. </w:t>
      </w:r>
    </w:p>
    <w:p w14:paraId="34DB13A5" w14:textId="77777777" w:rsidR="003C274B" w:rsidRDefault="003C274B" w:rsidP="00EA28E2">
      <w:pPr>
        <w:pStyle w:val="Listenabsatz"/>
      </w:pPr>
    </w:p>
    <w:p w14:paraId="7325596C" w14:textId="0724C1EA" w:rsidR="003C274B" w:rsidRDefault="003C274B" w:rsidP="00EA28E2">
      <w:pPr>
        <w:pStyle w:val="Listenabsatz"/>
      </w:pPr>
      <w:r>
        <w:t>Insgesamt könnten diese Risiken dazu führen, dass Salesforce ein geringeres Umsatzwachstum, schwächere Margen oder niedrigere Free-Cashflow</w:t>
      </w:r>
      <w:r w:rsidR="00170369">
        <w:t>-</w:t>
      </w:r>
      <w:r>
        <w:t>Wachstumsraten erzielt als im Base Case angenommen.</w:t>
      </w:r>
    </w:p>
    <w:p w14:paraId="408D6AF3" w14:textId="77777777" w:rsidR="00EA28E2" w:rsidRDefault="00EA28E2" w:rsidP="00EA28E2">
      <w:pPr>
        <w:pStyle w:val="Listenabsatz"/>
      </w:pPr>
    </w:p>
    <w:p w14:paraId="5EDCA632" w14:textId="1607F2AB" w:rsidR="00A74628" w:rsidRDefault="00A74628" w:rsidP="00A4785E">
      <w:pPr>
        <w:pStyle w:val="Listenabsatz"/>
        <w:numPr>
          <w:ilvl w:val="0"/>
          <w:numId w:val="1"/>
        </w:numPr>
      </w:pPr>
      <w:r>
        <w:t>Quellenverzeichnis</w:t>
      </w:r>
    </w:p>
    <w:p w14:paraId="2F375DD3" w14:textId="77777777" w:rsidR="0088082D" w:rsidRDefault="0088082D" w:rsidP="0088082D">
      <w:pPr>
        <w:pStyle w:val="Listenabsatz"/>
      </w:pPr>
    </w:p>
    <w:p w14:paraId="38546D0D" w14:textId="47D64241" w:rsidR="0006296C" w:rsidRPr="00466C9D" w:rsidRDefault="0006296C" w:rsidP="0006296C">
      <w:pPr>
        <w:pStyle w:val="Listenabsatz"/>
        <w:numPr>
          <w:ilvl w:val="0"/>
          <w:numId w:val="9"/>
        </w:numPr>
      </w:pPr>
      <w:r w:rsidRPr="00466C9D">
        <w:t xml:space="preserve">Salesforce, Inc. </w:t>
      </w:r>
      <w:r w:rsidRPr="0006296C">
        <w:rPr>
          <w:i/>
          <w:iCs/>
        </w:rPr>
        <w:t>Annual Report – Form 10-K</w:t>
      </w:r>
      <w:r w:rsidRPr="00466C9D">
        <w:t>. Fiscal Year 2026</w:t>
      </w:r>
    </w:p>
    <w:p w14:paraId="19E862CB" w14:textId="75F03279" w:rsidR="0006296C" w:rsidRPr="00466C9D" w:rsidRDefault="0006296C" w:rsidP="0006296C">
      <w:pPr>
        <w:pStyle w:val="Listenabsatz"/>
        <w:numPr>
          <w:ilvl w:val="0"/>
          <w:numId w:val="9"/>
        </w:numPr>
      </w:pPr>
      <w:r w:rsidRPr="00466C9D">
        <w:t xml:space="preserve">Salesforce, Inc. </w:t>
      </w:r>
      <w:r w:rsidRPr="0006296C">
        <w:rPr>
          <w:i/>
          <w:iCs/>
        </w:rPr>
        <w:t>Quarterly Report – Form 10-Q</w:t>
      </w:r>
      <w:r w:rsidRPr="00466C9D">
        <w:t xml:space="preserve">. First </w:t>
      </w:r>
      <w:proofErr w:type="spellStart"/>
      <w:r w:rsidRPr="00466C9D">
        <w:t>Quarter</w:t>
      </w:r>
      <w:proofErr w:type="spellEnd"/>
      <w:r w:rsidRPr="00466C9D">
        <w:t xml:space="preserve"> Fiscal 2027</w:t>
      </w:r>
    </w:p>
    <w:p w14:paraId="1292EC9D" w14:textId="53879E9C" w:rsidR="0006296C" w:rsidRDefault="0006296C" w:rsidP="0006296C">
      <w:pPr>
        <w:pStyle w:val="Listenabsatz"/>
        <w:numPr>
          <w:ilvl w:val="0"/>
          <w:numId w:val="9"/>
        </w:numPr>
      </w:pPr>
      <w:r w:rsidRPr="00466C9D">
        <w:t xml:space="preserve">Salesforce, Inc. </w:t>
      </w:r>
      <w:r w:rsidRPr="0006296C">
        <w:rPr>
          <w:i/>
          <w:iCs/>
        </w:rPr>
        <w:t>Current Report – Form 8-K</w:t>
      </w:r>
      <w:r w:rsidRPr="00466C9D">
        <w:t xml:space="preserve">. </w:t>
      </w:r>
    </w:p>
    <w:p w14:paraId="5F5EAFF1" w14:textId="3022FF06" w:rsidR="0006296C" w:rsidRDefault="0006296C" w:rsidP="0006296C">
      <w:pPr>
        <w:pStyle w:val="Listenabsatz"/>
        <w:numPr>
          <w:ilvl w:val="0"/>
          <w:numId w:val="9"/>
        </w:numPr>
      </w:pPr>
      <w:r w:rsidRPr="00466C9D">
        <w:t xml:space="preserve">Salesforce, Inc. </w:t>
      </w:r>
      <w:r w:rsidRPr="00466C9D">
        <w:rPr>
          <w:i/>
          <w:iCs/>
        </w:rPr>
        <w:t xml:space="preserve">Q1 FY27 </w:t>
      </w:r>
      <w:proofErr w:type="spellStart"/>
      <w:r w:rsidRPr="00466C9D">
        <w:rPr>
          <w:i/>
          <w:iCs/>
        </w:rPr>
        <w:t>Earnings</w:t>
      </w:r>
      <w:proofErr w:type="spellEnd"/>
      <w:r w:rsidRPr="00466C9D">
        <w:rPr>
          <w:i/>
          <w:iCs/>
        </w:rPr>
        <w:t xml:space="preserve"> Conference Call </w:t>
      </w:r>
      <w:proofErr w:type="spellStart"/>
      <w:r w:rsidRPr="00466C9D">
        <w:rPr>
          <w:i/>
          <w:iCs/>
        </w:rPr>
        <w:t>Transcript</w:t>
      </w:r>
      <w:proofErr w:type="spellEnd"/>
      <w:r w:rsidRPr="00466C9D">
        <w:t xml:space="preserve">. </w:t>
      </w:r>
    </w:p>
    <w:p w14:paraId="05378DBA" w14:textId="499E5F0C" w:rsidR="0006296C" w:rsidRDefault="0006296C" w:rsidP="0006296C">
      <w:pPr>
        <w:pStyle w:val="Listenabsatz"/>
        <w:numPr>
          <w:ilvl w:val="0"/>
          <w:numId w:val="9"/>
        </w:numPr>
      </w:pPr>
      <w:r>
        <w:t>Salesforce</w:t>
      </w:r>
      <w:r w:rsidR="0029655A">
        <w:t>,</w:t>
      </w:r>
      <w:r>
        <w:t xml:space="preserve"> Inc.</w:t>
      </w:r>
      <w:r w:rsidR="0029655A">
        <w:t xml:space="preserve"> </w:t>
      </w:r>
      <w:r w:rsidR="0088082D">
        <w:t xml:space="preserve">Market </w:t>
      </w:r>
      <w:proofErr w:type="spellStart"/>
      <w:r w:rsidR="0088082D">
        <w:t>leader</w:t>
      </w:r>
      <w:proofErr w:type="spellEnd"/>
      <w:r w:rsidR="0088082D">
        <w:t xml:space="preserve"> in</w:t>
      </w:r>
      <w:r w:rsidR="0029655A">
        <w:t xml:space="preserve"> CRM</w:t>
      </w:r>
      <w:r>
        <w:t xml:space="preserve">. </w:t>
      </w:r>
      <w:r w:rsidRPr="00B0724F">
        <w:t>https://www.salesforce.com/crm/worlds-number-one-crm/</w:t>
      </w:r>
    </w:p>
    <w:p w14:paraId="520099CA" w14:textId="28E5D883" w:rsidR="0006296C" w:rsidRDefault="0006296C" w:rsidP="0006296C">
      <w:pPr>
        <w:pStyle w:val="Listenabsatz"/>
        <w:numPr>
          <w:ilvl w:val="0"/>
          <w:numId w:val="9"/>
        </w:numPr>
      </w:pPr>
      <w:r w:rsidRPr="00466C9D">
        <w:t xml:space="preserve">Grand View Research. </w:t>
      </w:r>
      <w:r w:rsidRPr="00466C9D">
        <w:rPr>
          <w:i/>
          <w:iCs/>
        </w:rPr>
        <w:t>Customer-Relationship-Management Market Size, Share &amp; Trends Analysis Report</w:t>
      </w:r>
      <w:r>
        <w:t xml:space="preserve"> (</w:t>
      </w:r>
      <w:r w:rsidR="0088082D" w:rsidRPr="0088082D">
        <w:t>https://www.grandviewresearch.com/industry-analysis/customer-relationship-management-crm-market</w:t>
      </w:r>
      <w:r>
        <w:t>)</w:t>
      </w:r>
    </w:p>
    <w:p w14:paraId="5052AC75" w14:textId="2A1F6F00" w:rsidR="00DF6B83" w:rsidRDefault="0088082D" w:rsidP="00A20FD5">
      <w:pPr>
        <w:pStyle w:val="Listenabsatz"/>
        <w:numPr>
          <w:ilvl w:val="0"/>
          <w:numId w:val="9"/>
        </w:numPr>
      </w:pPr>
      <w:r>
        <w:t xml:space="preserve">Stock Analysis. Salesforce, Inc. – Financial Statements, Key Financial Data </w:t>
      </w:r>
      <w:r w:rsidRPr="0088082D">
        <w:t>https://stockanalysis.com/stocks/crm/</w:t>
      </w:r>
    </w:p>
    <w:sectPr w:rsidR="00DF6B8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3F87A" w14:textId="77777777" w:rsidR="00097E82" w:rsidRDefault="00097E82" w:rsidP="00531C23">
      <w:pPr>
        <w:spacing w:after="0" w:line="240" w:lineRule="auto"/>
      </w:pPr>
      <w:r>
        <w:separator/>
      </w:r>
    </w:p>
  </w:endnote>
  <w:endnote w:type="continuationSeparator" w:id="0">
    <w:p w14:paraId="3C0B98CB" w14:textId="77777777" w:rsidR="00097E82" w:rsidRDefault="00097E82" w:rsidP="00531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8E9A" w14:textId="77777777" w:rsidR="00097E82" w:rsidRDefault="00097E82" w:rsidP="00531C23">
      <w:pPr>
        <w:spacing w:after="0" w:line="240" w:lineRule="auto"/>
      </w:pPr>
      <w:r>
        <w:separator/>
      </w:r>
    </w:p>
  </w:footnote>
  <w:footnote w:type="continuationSeparator" w:id="0">
    <w:p w14:paraId="25A8EF44" w14:textId="77777777" w:rsidR="00097E82" w:rsidRDefault="00097E82" w:rsidP="00531C23">
      <w:pPr>
        <w:spacing w:after="0" w:line="240" w:lineRule="auto"/>
      </w:pPr>
      <w:r>
        <w:continuationSeparator/>
      </w:r>
    </w:p>
  </w:footnote>
  <w:footnote w:id="1">
    <w:p w14:paraId="1346E9C8" w14:textId="32D13363" w:rsidR="00531C23" w:rsidRDefault="00531C23">
      <w:pPr>
        <w:pStyle w:val="Funotentext"/>
      </w:pPr>
      <w:r>
        <w:rPr>
          <w:rStyle w:val="Funotenzeichen"/>
        </w:rPr>
        <w:footnoteRef/>
      </w:r>
      <w:r>
        <w:t xml:space="preserve"> FY = Fiscal Year (Geschäftsjahr): der Bilanzstichtag ist der 31.1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65B8"/>
    <w:multiLevelType w:val="multilevel"/>
    <w:tmpl w:val="420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D2284"/>
    <w:multiLevelType w:val="multilevel"/>
    <w:tmpl w:val="C7B6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E299D"/>
    <w:multiLevelType w:val="multilevel"/>
    <w:tmpl w:val="2A0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73325"/>
    <w:multiLevelType w:val="hybridMultilevel"/>
    <w:tmpl w:val="0C3CD47A"/>
    <w:lvl w:ilvl="0" w:tplc="D5CEC8F6">
      <w:numFmt w:val="bullet"/>
      <w:lvlText w:val=""/>
      <w:lvlJc w:val="left"/>
      <w:pPr>
        <w:ind w:left="1080" w:hanging="360"/>
      </w:pPr>
      <w:rPr>
        <w:rFonts w:ascii="Symbol" w:eastAsiaTheme="minorHAnsi" w:hAnsi="Symbol" w:cstheme="minorBid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4" w15:restartNumberingAfterBreak="0">
    <w:nsid w:val="2605473C"/>
    <w:multiLevelType w:val="multilevel"/>
    <w:tmpl w:val="1A9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E1ED1"/>
    <w:multiLevelType w:val="multilevel"/>
    <w:tmpl w:val="C86C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D5B91"/>
    <w:multiLevelType w:val="multilevel"/>
    <w:tmpl w:val="0A3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50F16"/>
    <w:multiLevelType w:val="hybridMultilevel"/>
    <w:tmpl w:val="17BE2DC2"/>
    <w:lvl w:ilvl="0" w:tplc="0C07000F">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794A62D1"/>
    <w:multiLevelType w:val="multilevel"/>
    <w:tmpl w:val="53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80787">
    <w:abstractNumId w:val="7"/>
  </w:num>
  <w:num w:numId="2" w16cid:durableId="1084374270">
    <w:abstractNumId w:val="5"/>
  </w:num>
  <w:num w:numId="3" w16cid:durableId="1056012029">
    <w:abstractNumId w:val="8"/>
  </w:num>
  <w:num w:numId="4" w16cid:durableId="1855028229">
    <w:abstractNumId w:val="2"/>
  </w:num>
  <w:num w:numId="5" w16cid:durableId="1465082431">
    <w:abstractNumId w:val="4"/>
  </w:num>
  <w:num w:numId="6" w16cid:durableId="815337750">
    <w:abstractNumId w:val="6"/>
  </w:num>
  <w:num w:numId="7" w16cid:durableId="48431197">
    <w:abstractNumId w:val="1"/>
  </w:num>
  <w:num w:numId="8" w16cid:durableId="990331202">
    <w:abstractNumId w:val="0"/>
  </w:num>
  <w:num w:numId="9" w16cid:durableId="1353611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5E"/>
    <w:rsid w:val="00010180"/>
    <w:rsid w:val="0002237C"/>
    <w:rsid w:val="00030556"/>
    <w:rsid w:val="00030FD3"/>
    <w:rsid w:val="00032A78"/>
    <w:rsid w:val="0003500F"/>
    <w:rsid w:val="00035FAB"/>
    <w:rsid w:val="00055AC9"/>
    <w:rsid w:val="0006296C"/>
    <w:rsid w:val="00072ADF"/>
    <w:rsid w:val="00097E82"/>
    <w:rsid w:val="000A65AE"/>
    <w:rsid w:val="000B0294"/>
    <w:rsid w:val="000B4231"/>
    <w:rsid w:val="000B6C02"/>
    <w:rsid w:val="000C2A4A"/>
    <w:rsid w:val="000D565D"/>
    <w:rsid w:val="000D5E61"/>
    <w:rsid w:val="001112EF"/>
    <w:rsid w:val="0011210E"/>
    <w:rsid w:val="001174CC"/>
    <w:rsid w:val="00165424"/>
    <w:rsid w:val="00165EBC"/>
    <w:rsid w:val="00170369"/>
    <w:rsid w:val="001A4DB5"/>
    <w:rsid w:val="001A6EB8"/>
    <w:rsid w:val="001C0A92"/>
    <w:rsid w:val="001C1684"/>
    <w:rsid w:val="001C2E16"/>
    <w:rsid w:val="001F3B78"/>
    <w:rsid w:val="00204279"/>
    <w:rsid w:val="00214E38"/>
    <w:rsid w:val="0021737A"/>
    <w:rsid w:val="00223752"/>
    <w:rsid w:val="00275E56"/>
    <w:rsid w:val="0029655A"/>
    <w:rsid w:val="002B5131"/>
    <w:rsid w:val="002D682C"/>
    <w:rsid w:val="002D7349"/>
    <w:rsid w:val="002E4995"/>
    <w:rsid w:val="003122ED"/>
    <w:rsid w:val="0031456B"/>
    <w:rsid w:val="00345743"/>
    <w:rsid w:val="00347FE3"/>
    <w:rsid w:val="00354451"/>
    <w:rsid w:val="0036180E"/>
    <w:rsid w:val="003978D1"/>
    <w:rsid w:val="003C274B"/>
    <w:rsid w:val="003E3C4E"/>
    <w:rsid w:val="003F08A5"/>
    <w:rsid w:val="003F1376"/>
    <w:rsid w:val="003F6F0D"/>
    <w:rsid w:val="004074E9"/>
    <w:rsid w:val="00417B86"/>
    <w:rsid w:val="00422477"/>
    <w:rsid w:val="00424740"/>
    <w:rsid w:val="004711E1"/>
    <w:rsid w:val="00490083"/>
    <w:rsid w:val="004F2B7D"/>
    <w:rsid w:val="00502D63"/>
    <w:rsid w:val="00511786"/>
    <w:rsid w:val="00531C23"/>
    <w:rsid w:val="00545534"/>
    <w:rsid w:val="00554F4F"/>
    <w:rsid w:val="005552F8"/>
    <w:rsid w:val="0056006E"/>
    <w:rsid w:val="00565055"/>
    <w:rsid w:val="0057349A"/>
    <w:rsid w:val="0058065E"/>
    <w:rsid w:val="005E0A13"/>
    <w:rsid w:val="005F4C36"/>
    <w:rsid w:val="00605E82"/>
    <w:rsid w:val="00606235"/>
    <w:rsid w:val="00613596"/>
    <w:rsid w:val="00657ACF"/>
    <w:rsid w:val="006737FA"/>
    <w:rsid w:val="006C485F"/>
    <w:rsid w:val="006E4379"/>
    <w:rsid w:val="00707050"/>
    <w:rsid w:val="00714849"/>
    <w:rsid w:val="0071539D"/>
    <w:rsid w:val="00722156"/>
    <w:rsid w:val="007234DE"/>
    <w:rsid w:val="00752A2F"/>
    <w:rsid w:val="007C6E2E"/>
    <w:rsid w:val="007D6674"/>
    <w:rsid w:val="007E7693"/>
    <w:rsid w:val="007F43B0"/>
    <w:rsid w:val="008155F3"/>
    <w:rsid w:val="0088082D"/>
    <w:rsid w:val="008E635E"/>
    <w:rsid w:val="009104CA"/>
    <w:rsid w:val="00914278"/>
    <w:rsid w:val="00920A95"/>
    <w:rsid w:val="0092656A"/>
    <w:rsid w:val="00972162"/>
    <w:rsid w:val="00977132"/>
    <w:rsid w:val="00992D56"/>
    <w:rsid w:val="009940BB"/>
    <w:rsid w:val="00994DD9"/>
    <w:rsid w:val="009B0A28"/>
    <w:rsid w:val="009D6546"/>
    <w:rsid w:val="009E05F9"/>
    <w:rsid w:val="00A01F53"/>
    <w:rsid w:val="00A20FD5"/>
    <w:rsid w:val="00A45BD3"/>
    <w:rsid w:val="00A4785E"/>
    <w:rsid w:val="00A51FD0"/>
    <w:rsid w:val="00A57F12"/>
    <w:rsid w:val="00A61BB4"/>
    <w:rsid w:val="00A74628"/>
    <w:rsid w:val="00A93E6C"/>
    <w:rsid w:val="00AA58AD"/>
    <w:rsid w:val="00AB0202"/>
    <w:rsid w:val="00B0724F"/>
    <w:rsid w:val="00B116E2"/>
    <w:rsid w:val="00B63CF9"/>
    <w:rsid w:val="00B66CAC"/>
    <w:rsid w:val="00B82708"/>
    <w:rsid w:val="00B95FA9"/>
    <w:rsid w:val="00BA7B27"/>
    <w:rsid w:val="00BB0E77"/>
    <w:rsid w:val="00BC0E27"/>
    <w:rsid w:val="00BC5079"/>
    <w:rsid w:val="00BD6101"/>
    <w:rsid w:val="00BF21F5"/>
    <w:rsid w:val="00C32712"/>
    <w:rsid w:val="00C7499C"/>
    <w:rsid w:val="00C778B9"/>
    <w:rsid w:val="00C8773D"/>
    <w:rsid w:val="00CA6227"/>
    <w:rsid w:val="00CC1DE7"/>
    <w:rsid w:val="00CC5103"/>
    <w:rsid w:val="00CC6025"/>
    <w:rsid w:val="00D34F66"/>
    <w:rsid w:val="00D4595F"/>
    <w:rsid w:val="00D50B51"/>
    <w:rsid w:val="00D64D2B"/>
    <w:rsid w:val="00DA4A28"/>
    <w:rsid w:val="00DB1CFC"/>
    <w:rsid w:val="00DC2EE5"/>
    <w:rsid w:val="00DC306B"/>
    <w:rsid w:val="00DC651E"/>
    <w:rsid w:val="00DC7D3A"/>
    <w:rsid w:val="00DD0240"/>
    <w:rsid w:val="00DE17F9"/>
    <w:rsid w:val="00DF6B83"/>
    <w:rsid w:val="00E03A9E"/>
    <w:rsid w:val="00E21BE4"/>
    <w:rsid w:val="00E22F82"/>
    <w:rsid w:val="00E35103"/>
    <w:rsid w:val="00E53349"/>
    <w:rsid w:val="00E611C9"/>
    <w:rsid w:val="00E66401"/>
    <w:rsid w:val="00E71C62"/>
    <w:rsid w:val="00E8710B"/>
    <w:rsid w:val="00E939E8"/>
    <w:rsid w:val="00EA28E2"/>
    <w:rsid w:val="00EC46D7"/>
    <w:rsid w:val="00ED5556"/>
    <w:rsid w:val="00EE1464"/>
    <w:rsid w:val="00F10781"/>
    <w:rsid w:val="00F1375B"/>
    <w:rsid w:val="00F32E0B"/>
    <w:rsid w:val="00F43CA0"/>
    <w:rsid w:val="00F641E0"/>
    <w:rsid w:val="00F72F44"/>
    <w:rsid w:val="00FB1684"/>
    <w:rsid w:val="00FB20FA"/>
    <w:rsid w:val="00FB5184"/>
    <w:rsid w:val="00FB6059"/>
    <w:rsid w:val="00FC18FA"/>
    <w:rsid w:val="00FE6B3A"/>
    <w:rsid w:val="00FE7479"/>
    <w:rsid w:val="00FF29D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8819"/>
  <w15:chartTrackingRefBased/>
  <w15:docId w15:val="{350F6AAE-8369-4A2D-A3EE-6757E79C0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7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47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478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478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478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478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78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78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78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78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478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478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478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478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478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78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78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785E"/>
    <w:rPr>
      <w:rFonts w:eastAsiaTheme="majorEastAsia" w:cstheme="majorBidi"/>
      <w:color w:val="272727" w:themeColor="text1" w:themeTint="D8"/>
    </w:rPr>
  </w:style>
  <w:style w:type="paragraph" w:styleId="Titel">
    <w:name w:val="Title"/>
    <w:basedOn w:val="Standard"/>
    <w:next w:val="Standard"/>
    <w:link w:val="TitelZchn"/>
    <w:uiPriority w:val="10"/>
    <w:qFormat/>
    <w:rsid w:val="00A47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78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78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78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78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4785E"/>
    <w:rPr>
      <w:i/>
      <w:iCs/>
      <w:color w:val="404040" w:themeColor="text1" w:themeTint="BF"/>
    </w:rPr>
  </w:style>
  <w:style w:type="paragraph" w:styleId="Listenabsatz">
    <w:name w:val="List Paragraph"/>
    <w:basedOn w:val="Standard"/>
    <w:uiPriority w:val="34"/>
    <w:qFormat/>
    <w:rsid w:val="00A4785E"/>
    <w:pPr>
      <w:ind w:left="720"/>
      <w:contextualSpacing/>
    </w:pPr>
  </w:style>
  <w:style w:type="character" w:styleId="IntensiveHervorhebung">
    <w:name w:val="Intense Emphasis"/>
    <w:basedOn w:val="Absatz-Standardschriftart"/>
    <w:uiPriority w:val="21"/>
    <w:qFormat/>
    <w:rsid w:val="00A4785E"/>
    <w:rPr>
      <w:i/>
      <w:iCs/>
      <w:color w:val="0F4761" w:themeColor="accent1" w:themeShade="BF"/>
    </w:rPr>
  </w:style>
  <w:style w:type="paragraph" w:styleId="IntensivesZitat">
    <w:name w:val="Intense Quote"/>
    <w:basedOn w:val="Standard"/>
    <w:next w:val="Standard"/>
    <w:link w:val="IntensivesZitatZchn"/>
    <w:uiPriority w:val="30"/>
    <w:qFormat/>
    <w:rsid w:val="00A47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4785E"/>
    <w:rPr>
      <w:i/>
      <w:iCs/>
      <w:color w:val="0F4761" w:themeColor="accent1" w:themeShade="BF"/>
    </w:rPr>
  </w:style>
  <w:style w:type="character" w:styleId="IntensiverVerweis">
    <w:name w:val="Intense Reference"/>
    <w:basedOn w:val="Absatz-Standardschriftart"/>
    <w:uiPriority w:val="32"/>
    <w:qFormat/>
    <w:rsid w:val="00A4785E"/>
    <w:rPr>
      <w:b/>
      <w:bCs/>
      <w:smallCaps/>
      <w:color w:val="0F4761" w:themeColor="accent1" w:themeShade="BF"/>
      <w:spacing w:val="5"/>
    </w:rPr>
  </w:style>
  <w:style w:type="character" w:styleId="Fett">
    <w:name w:val="Strong"/>
    <w:basedOn w:val="Absatz-Standardschriftart"/>
    <w:uiPriority w:val="22"/>
    <w:qFormat/>
    <w:rsid w:val="00C778B9"/>
    <w:rPr>
      <w:b/>
      <w:bCs/>
    </w:rPr>
  </w:style>
  <w:style w:type="table" w:styleId="Tabellenraster">
    <w:name w:val="Table Grid"/>
    <w:basedOn w:val="NormaleTabelle"/>
    <w:uiPriority w:val="39"/>
    <w:rsid w:val="00E71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5552F8"/>
    <w:rPr>
      <w:color w:val="467886" w:themeColor="hyperlink"/>
      <w:u w:val="single"/>
    </w:rPr>
  </w:style>
  <w:style w:type="character" w:styleId="NichtaufgelsteErwhnung">
    <w:name w:val="Unresolved Mention"/>
    <w:basedOn w:val="Absatz-Standardschriftart"/>
    <w:uiPriority w:val="99"/>
    <w:semiHidden/>
    <w:unhideWhenUsed/>
    <w:rsid w:val="005552F8"/>
    <w:rPr>
      <w:color w:val="605E5C"/>
      <w:shd w:val="clear" w:color="auto" w:fill="E1DFDD"/>
    </w:rPr>
  </w:style>
  <w:style w:type="paragraph" w:styleId="Funotentext">
    <w:name w:val="footnote text"/>
    <w:basedOn w:val="Standard"/>
    <w:link w:val="FunotentextZchn"/>
    <w:uiPriority w:val="99"/>
    <w:semiHidden/>
    <w:unhideWhenUsed/>
    <w:rsid w:val="00531C2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31C23"/>
    <w:rPr>
      <w:sz w:val="20"/>
      <w:szCs w:val="20"/>
    </w:rPr>
  </w:style>
  <w:style w:type="character" w:styleId="Funotenzeichen">
    <w:name w:val="footnote reference"/>
    <w:basedOn w:val="Absatz-Standardschriftart"/>
    <w:uiPriority w:val="99"/>
    <w:semiHidden/>
    <w:unhideWhenUsed/>
    <w:rsid w:val="00531C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F8BA8-2CEA-4A5F-948E-F65223FF4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2403</Words>
  <Characters>15145</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Müller, Alexander Michael</dc:creator>
  <cp:keywords/>
  <dc:description/>
  <cp:lastModifiedBy>Müller, Alexander Michael</cp:lastModifiedBy>
  <cp:revision>4</cp:revision>
  <dcterms:created xsi:type="dcterms:W3CDTF">2026-06-15T18:16:00Z</dcterms:created>
  <dcterms:modified xsi:type="dcterms:W3CDTF">2026-06-15T18:16:00Z</dcterms:modified>
</cp:coreProperties>
</file>