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1C6FB" w14:textId="77777777" w:rsidR="00F71CA6" w:rsidRDefault="00F71CA6"/>
    <w:p w14:paraId="24E0214C" w14:textId="77777777" w:rsidR="00F71CA6" w:rsidRDefault="00F71CA6"/>
    <w:p w14:paraId="67C9A66E" w14:textId="77777777" w:rsidR="00F71CA6" w:rsidRDefault="00F71CA6"/>
    <w:p w14:paraId="08F922A1" w14:textId="77777777" w:rsidR="00F71CA6" w:rsidRDefault="00F71CA6"/>
    <w:p w14:paraId="44838675" w14:textId="77777777" w:rsidR="00F71CA6" w:rsidRDefault="00F71CA6"/>
    <w:p w14:paraId="1AB20383" w14:textId="5D8F13F4" w:rsidR="00F71CA6" w:rsidRPr="00AB39DC" w:rsidRDefault="00F71CA6" w:rsidP="00F71CA6">
      <w:pPr>
        <w:jc w:val="center"/>
        <w:rPr>
          <w:b/>
          <w:bCs/>
          <w:sz w:val="28"/>
          <w:szCs w:val="28"/>
        </w:rPr>
      </w:pPr>
      <w:r w:rsidRPr="00AB39DC">
        <w:rPr>
          <w:b/>
          <w:bCs/>
          <w:sz w:val="28"/>
          <w:szCs w:val="28"/>
        </w:rPr>
        <w:t>The Coca-Cola Company (KO)</w:t>
      </w:r>
    </w:p>
    <w:p w14:paraId="7492A577" w14:textId="6FB258C2" w:rsidR="00F71CA6" w:rsidRDefault="00F71CA6" w:rsidP="00F71CA6">
      <w:pPr>
        <w:jc w:val="center"/>
      </w:pPr>
      <w:r>
        <w:t>Equity Research Report – Aktienanalyse</w:t>
      </w:r>
    </w:p>
    <w:p w14:paraId="37AF2C84" w14:textId="77777777" w:rsidR="00F71CA6" w:rsidRDefault="00F71CA6" w:rsidP="00F71CA6">
      <w:pPr>
        <w:jc w:val="center"/>
      </w:pPr>
    </w:p>
    <w:p w14:paraId="2C0E0022" w14:textId="77777777" w:rsidR="00F71CA6" w:rsidRDefault="00F71CA6" w:rsidP="00F71CA6"/>
    <w:p w14:paraId="076654C5" w14:textId="77777777" w:rsidR="00F71CA6" w:rsidRDefault="00F71CA6" w:rsidP="00F71CA6"/>
    <w:p w14:paraId="45931C88" w14:textId="77777777" w:rsidR="00F71CA6" w:rsidRDefault="00F71CA6" w:rsidP="00F71CA6"/>
    <w:p w14:paraId="0B4A98CB" w14:textId="159E6FD5" w:rsidR="00F71CA6" w:rsidRDefault="00F71CA6" w:rsidP="00F71CA6">
      <w:r>
        <w:t xml:space="preserve">Analyst: Alexander Müller       </w:t>
      </w:r>
    </w:p>
    <w:p w14:paraId="4412B485" w14:textId="66773B16" w:rsidR="00F71CA6" w:rsidRDefault="00F71CA6" w:rsidP="00F71CA6">
      <w:r>
        <w:t xml:space="preserve">Datum: </w:t>
      </w:r>
      <w:r w:rsidR="003F70DF">
        <w:t>11.05.2026</w:t>
      </w:r>
    </w:p>
    <w:p w14:paraId="24C02EA6" w14:textId="01B7D0B9" w:rsidR="00F71CA6" w:rsidRDefault="00F71CA6" w:rsidP="00F71CA6">
      <w:r>
        <w:t>Version: 1.0</w:t>
      </w:r>
    </w:p>
    <w:p w14:paraId="63EAED6C" w14:textId="77777777" w:rsidR="00F71CA6" w:rsidRDefault="00F71CA6" w:rsidP="00F71CA6">
      <w:pPr>
        <w:jc w:val="center"/>
      </w:pPr>
    </w:p>
    <w:p w14:paraId="7DCBE8A3" w14:textId="77777777" w:rsidR="00F71CA6" w:rsidRDefault="00F71CA6" w:rsidP="00F71CA6">
      <w:pPr>
        <w:jc w:val="center"/>
      </w:pPr>
    </w:p>
    <w:p w14:paraId="0FE15248" w14:textId="77777777" w:rsidR="00F71CA6" w:rsidRDefault="00F71CA6" w:rsidP="00AB39DC"/>
    <w:p w14:paraId="0B4E0156" w14:textId="25D06BAC" w:rsidR="00F71CA6" w:rsidRDefault="00250026" w:rsidP="00F71CA6">
      <w:pPr>
        <w:jc w:val="center"/>
      </w:pPr>
      <w:r>
        <w:t>HOLD</w:t>
      </w:r>
    </w:p>
    <w:p w14:paraId="74B5B6D3" w14:textId="186D0F00" w:rsidR="00F71CA6" w:rsidRDefault="00F71CA6" w:rsidP="00F71CA6">
      <w:pPr>
        <w:jc w:val="center"/>
      </w:pPr>
      <w:r>
        <w:t xml:space="preserve">Aktueller Kurs: </w:t>
      </w:r>
      <w:r w:rsidR="00DC551B">
        <w:t>78</w:t>
      </w:r>
      <w:r w:rsidR="003F70DF">
        <w:t>,42</w:t>
      </w:r>
      <w:r w:rsidR="00DC551B">
        <w:t xml:space="preserve"> USD</w:t>
      </w:r>
    </w:p>
    <w:p w14:paraId="276C0D14" w14:textId="075B4F40" w:rsidR="00F71CA6" w:rsidRDefault="00DC551B" w:rsidP="00F71CA6">
      <w:pPr>
        <w:jc w:val="center"/>
      </w:pPr>
      <w:r>
        <w:t>Zielkurs / Fair Value Base Case: ca. 75 USD</w:t>
      </w:r>
    </w:p>
    <w:p w14:paraId="65EF02E1" w14:textId="61C31FEE" w:rsidR="00F71CA6" w:rsidRDefault="00DC551B" w:rsidP="00F71CA6">
      <w:pPr>
        <w:jc w:val="center"/>
      </w:pPr>
      <w:r>
        <w:t>Attraktiver Einstieg: 70-72 USD</w:t>
      </w:r>
    </w:p>
    <w:p w14:paraId="4896036C" w14:textId="77777777" w:rsidR="00AB39DC" w:rsidRDefault="00F71CA6" w:rsidP="00F71CA6">
      <w:pPr>
        <w:jc w:val="center"/>
      </w:pPr>
      <w:r>
        <w:t>Risiko: mittel</w:t>
      </w:r>
    </w:p>
    <w:p w14:paraId="1872A55B" w14:textId="77777777" w:rsidR="00AB39DC" w:rsidRDefault="00AB39DC" w:rsidP="00AB39DC"/>
    <w:p w14:paraId="33EA4A01" w14:textId="2644E48A" w:rsidR="00AB39DC" w:rsidRDefault="00AB39DC" w:rsidP="00AB39DC"/>
    <w:tbl>
      <w:tblPr>
        <w:tblStyle w:val="Tabellenraster"/>
        <w:tblW w:w="0" w:type="auto"/>
        <w:tblLook w:val="04A0" w:firstRow="1" w:lastRow="0" w:firstColumn="1" w:lastColumn="0" w:noHBand="0" w:noVBand="1"/>
      </w:tblPr>
      <w:tblGrid>
        <w:gridCol w:w="4531"/>
        <w:gridCol w:w="4531"/>
      </w:tblGrid>
      <w:tr w:rsidR="00826275" w14:paraId="03F4C70B" w14:textId="77777777" w:rsidTr="00826275">
        <w:tc>
          <w:tcPr>
            <w:tcW w:w="4531" w:type="dxa"/>
          </w:tcPr>
          <w:p w14:paraId="022D7697" w14:textId="7441F7B8" w:rsidR="00826275" w:rsidRDefault="00300CB3" w:rsidP="00AB39DC">
            <w:r>
              <w:t>Marktkapitalisierung</w:t>
            </w:r>
          </w:p>
        </w:tc>
        <w:tc>
          <w:tcPr>
            <w:tcW w:w="4531" w:type="dxa"/>
          </w:tcPr>
          <w:p w14:paraId="252B29F1" w14:textId="21566331" w:rsidR="00826275" w:rsidRDefault="003F70DF" w:rsidP="00AB39DC">
            <w:r>
              <w:t>337,4 Mrd. USD</w:t>
            </w:r>
          </w:p>
        </w:tc>
      </w:tr>
      <w:tr w:rsidR="00826275" w14:paraId="1F0B5C33" w14:textId="77777777" w:rsidTr="00826275">
        <w:tc>
          <w:tcPr>
            <w:tcW w:w="4531" w:type="dxa"/>
          </w:tcPr>
          <w:p w14:paraId="608495DC" w14:textId="603A18AA" w:rsidR="00300CB3" w:rsidRDefault="00300CB3" w:rsidP="00AB39DC">
            <w:r>
              <w:t>KGV</w:t>
            </w:r>
          </w:p>
        </w:tc>
        <w:tc>
          <w:tcPr>
            <w:tcW w:w="4531" w:type="dxa"/>
          </w:tcPr>
          <w:p w14:paraId="597600D9" w14:textId="24CCC8B2" w:rsidR="00826275" w:rsidRDefault="003F70DF" w:rsidP="00AB39DC">
            <w:r>
              <w:t>24,66</w:t>
            </w:r>
          </w:p>
        </w:tc>
      </w:tr>
      <w:tr w:rsidR="00826275" w14:paraId="7E4A1E44" w14:textId="77777777" w:rsidTr="00826275">
        <w:tc>
          <w:tcPr>
            <w:tcW w:w="4531" w:type="dxa"/>
          </w:tcPr>
          <w:p w14:paraId="11DCE26D" w14:textId="7D116EA8" w:rsidR="00826275" w:rsidRDefault="00300CB3" w:rsidP="00AB39DC">
            <w:r>
              <w:t>EBIT</w:t>
            </w:r>
            <w:r w:rsidR="00AB0C71">
              <w:t xml:space="preserve"> </w:t>
            </w:r>
            <w:r>
              <w:t>Marge</w:t>
            </w:r>
          </w:p>
        </w:tc>
        <w:tc>
          <w:tcPr>
            <w:tcW w:w="4531" w:type="dxa"/>
          </w:tcPr>
          <w:p w14:paraId="61E73787" w14:textId="66717197" w:rsidR="00826275" w:rsidRDefault="003F70DF" w:rsidP="00AB39DC">
            <w:r>
              <w:t>29,34%</w:t>
            </w:r>
          </w:p>
        </w:tc>
      </w:tr>
      <w:tr w:rsidR="00826275" w14:paraId="529001C3" w14:textId="77777777" w:rsidTr="00826275">
        <w:tc>
          <w:tcPr>
            <w:tcW w:w="4531" w:type="dxa"/>
          </w:tcPr>
          <w:p w14:paraId="7C7809F1" w14:textId="395DE73D" w:rsidR="00300CB3" w:rsidRDefault="003C4C4B" w:rsidP="00AB39DC">
            <w:r>
              <w:t>FCF Yield</w:t>
            </w:r>
          </w:p>
        </w:tc>
        <w:tc>
          <w:tcPr>
            <w:tcW w:w="4531" w:type="dxa"/>
          </w:tcPr>
          <w:p w14:paraId="24224A7A" w14:textId="0F92F6D2" w:rsidR="00826275" w:rsidRDefault="003F70DF" w:rsidP="00AB39DC">
            <w:r>
              <w:t>3,72%</w:t>
            </w:r>
          </w:p>
        </w:tc>
      </w:tr>
      <w:tr w:rsidR="00826275" w14:paraId="667E51FC" w14:textId="77777777" w:rsidTr="00826275">
        <w:tc>
          <w:tcPr>
            <w:tcW w:w="4531" w:type="dxa"/>
          </w:tcPr>
          <w:p w14:paraId="79A06EB4" w14:textId="2DD0B61E" w:rsidR="00826275" w:rsidRDefault="00300CB3" w:rsidP="00AB39DC">
            <w:r>
              <w:t>Net Debt / EBITDA</w:t>
            </w:r>
          </w:p>
        </w:tc>
        <w:tc>
          <w:tcPr>
            <w:tcW w:w="4531" w:type="dxa"/>
          </w:tcPr>
          <w:p w14:paraId="1AC3D991" w14:textId="28D2D2F0" w:rsidR="00826275" w:rsidRDefault="003F70DF" w:rsidP="00AB39DC">
            <w:r>
              <w:t>1,94</w:t>
            </w:r>
          </w:p>
        </w:tc>
      </w:tr>
      <w:tr w:rsidR="00826275" w14:paraId="35460B83" w14:textId="77777777" w:rsidTr="00826275">
        <w:tc>
          <w:tcPr>
            <w:tcW w:w="4531" w:type="dxa"/>
          </w:tcPr>
          <w:p w14:paraId="171C273C" w14:textId="6EFECD49" w:rsidR="00826275" w:rsidRDefault="00300CB3" w:rsidP="00AB39DC">
            <w:r>
              <w:t>Dividendenrendite</w:t>
            </w:r>
          </w:p>
        </w:tc>
        <w:tc>
          <w:tcPr>
            <w:tcW w:w="4531" w:type="dxa"/>
          </w:tcPr>
          <w:p w14:paraId="2E19F7D9" w14:textId="6D6A815E" w:rsidR="00826275" w:rsidRDefault="003F70DF" w:rsidP="00AB39DC">
            <w:r>
              <w:t>ca. 2,6%</w:t>
            </w:r>
          </w:p>
        </w:tc>
      </w:tr>
    </w:tbl>
    <w:p w14:paraId="3BD6910F" w14:textId="0836A87C" w:rsidR="00F71CA6" w:rsidRDefault="00F71CA6" w:rsidP="00AB39DC">
      <w:r>
        <w:br w:type="page"/>
      </w:r>
    </w:p>
    <w:p w14:paraId="3378C726" w14:textId="77777777" w:rsidR="00F71CA6" w:rsidRDefault="00F71CA6" w:rsidP="00F71CA6">
      <w:pPr>
        <w:pStyle w:val="Listenabsatz"/>
      </w:pPr>
    </w:p>
    <w:p w14:paraId="04B2073D" w14:textId="77777777" w:rsidR="00250026" w:rsidRDefault="00E53349" w:rsidP="00250026">
      <w:pPr>
        <w:pStyle w:val="Listenabsatz"/>
        <w:numPr>
          <w:ilvl w:val="0"/>
          <w:numId w:val="1"/>
        </w:numPr>
      </w:pPr>
      <w:r>
        <w:t xml:space="preserve">Zusammenfassung &amp; </w:t>
      </w:r>
      <w:r w:rsidR="00DC2EE5">
        <w:t>Anlageentscheidung</w:t>
      </w:r>
      <w:r>
        <w:t xml:space="preserve"> (</w:t>
      </w:r>
      <w:r w:rsidR="00A4785E">
        <w:t>Investment Summary</w:t>
      </w:r>
      <w:r>
        <w:t>)</w:t>
      </w:r>
    </w:p>
    <w:p w14:paraId="276E84B3" w14:textId="77777777" w:rsidR="00250026" w:rsidRDefault="00250026" w:rsidP="00250026">
      <w:pPr>
        <w:pStyle w:val="Listenabsatz"/>
      </w:pPr>
    </w:p>
    <w:p w14:paraId="5C9FA5DE" w14:textId="1758096E" w:rsidR="00300CB3" w:rsidRDefault="00250026" w:rsidP="00250026">
      <w:pPr>
        <w:pStyle w:val="Listenabsatz"/>
      </w:pPr>
      <w:r>
        <w:t>Mein Fazit: Hold</w:t>
      </w:r>
    </w:p>
    <w:p w14:paraId="600C2E2B" w14:textId="0B9FEC9A" w:rsidR="00250026" w:rsidRDefault="00250026" w:rsidP="00250026">
      <w:pPr>
        <w:pStyle w:val="Listenabsatz"/>
      </w:pPr>
      <w:r>
        <w:t>Coca-Cola ist ein Qualitätsunternehmen mit starke</w:t>
      </w:r>
      <w:r w:rsidR="00485EE7">
        <w:t>r</w:t>
      </w:r>
      <w:r>
        <w:t xml:space="preserve"> Marke</w:t>
      </w:r>
      <w:r w:rsidR="00485EE7">
        <w:t xml:space="preserve">, </w:t>
      </w:r>
      <w:r>
        <w:t>stabilen Cashflows</w:t>
      </w:r>
      <w:r w:rsidR="00485EE7">
        <w:t>, hoher Profitabilität und internationaler Marktstellung</w:t>
      </w:r>
      <w:r>
        <w:t xml:space="preserve">. Zum aktuellen Kurs von </w:t>
      </w:r>
      <w:r w:rsidR="003F70DF">
        <w:t xml:space="preserve">rund </w:t>
      </w:r>
      <w:r>
        <w:t>78 USD wird die Aktie jedoch mit einem starken Qualitätsaufschlag gehandelt. Die DCF-Bewertung ergibt im Base Case einen fairen Preis von 75 USD je Aktie. Eine klare Unterbewertung ergibt sich ausschließlich im Bull Case. Diese These wird auch durch die Multiple Bewertung anhand PepsiCo und Keurig</w:t>
      </w:r>
      <w:r w:rsidR="0015064C">
        <w:t xml:space="preserve"> Dr.</w:t>
      </w:r>
      <w:r>
        <w:t xml:space="preserve"> Pepper bestätigt.</w:t>
      </w:r>
    </w:p>
    <w:p w14:paraId="01609805" w14:textId="77777777" w:rsidR="00250026" w:rsidRDefault="00250026" w:rsidP="00250026">
      <w:pPr>
        <w:pStyle w:val="Listenabsatz"/>
      </w:pPr>
    </w:p>
    <w:p w14:paraId="2920A5DB" w14:textId="77777777" w:rsidR="00250026" w:rsidRDefault="00250026" w:rsidP="00250026">
      <w:pPr>
        <w:pStyle w:val="Listenabsatz"/>
      </w:pPr>
      <w:r>
        <w:t xml:space="preserve">Meiner Meinung nach ist Coca-Cola aktuell nicht kaufenswert. Jedoch sehe ich aufgrund der hohen Unternehmensqualität, stabilen Cashflows und Dividendenpolitik keinen zwingenden Verkaufsgrund. </w:t>
      </w:r>
    </w:p>
    <w:p w14:paraId="392AE44B" w14:textId="5727B391" w:rsidR="00250026" w:rsidRDefault="00250026" w:rsidP="00250026">
      <w:pPr>
        <w:pStyle w:val="Listenabsatz"/>
      </w:pPr>
      <w:r>
        <w:t>Ein attraktiver Einstieg wäre im Bereich von 70-72 USD gegeben.</w:t>
      </w:r>
    </w:p>
    <w:p w14:paraId="243834F1" w14:textId="77777777" w:rsidR="0034197C" w:rsidRDefault="0034197C" w:rsidP="00300CB3">
      <w:pPr>
        <w:ind w:left="360"/>
      </w:pPr>
    </w:p>
    <w:p w14:paraId="25D53782" w14:textId="7100A26A" w:rsidR="00A4785E" w:rsidRDefault="00E53349" w:rsidP="00A4785E">
      <w:pPr>
        <w:pStyle w:val="Listenabsatz"/>
        <w:numPr>
          <w:ilvl w:val="0"/>
          <w:numId w:val="1"/>
        </w:numPr>
      </w:pPr>
      <w:r>
        <w:t>Unternehmensbeschreibung (</w:t>
      </w:r>
      <w:r w:rsidR="00A4785E">
        <w:t>Business De</w:t>
      </w:r>
      <w:r>
        <w:t>s</w:t>
      </w:r>
      <w:r w:rsidR="00A4785E">
        <w:t>cription</w:t>
      </w:r>
      <w:r>
        <w:t>)</w:t>
      </w:r>
    </w:p>
    <w:p w14:paraId="5957B2BB" w14:textId="77777777" w:rsidR="00082EEB" w:rsidRDefault="00082EEB" w:rsidP="00082EEB">
      <w:pPr>
        <w:pStyle w:val="Listenabsatz"/>
      </w:pPr>
    </w:p>
    <w:p w14:paraId="5249192D" w14:textId="77777777" w:rsidR="00082EEB" w:rsidRDefault="00082EEB" w:rsidP="00082EEB">
      <w:pPr>
        <w:pStyle w:val="Listenabsatz"/>
      </w:pPr>
    </w:p>
    <w:p w14:paraId="428FEFC2" w14:textId="59AF21E3" w:rsidR="00151A8B" w:rsidRDefault="00E24260" w:rsidP="00151A8B">
      <w:pPr>
        <w:pStyle w:val="Listenabsatz"/>
      </w:pPr>
      <w:r>
        <w:t>The Coca-Cola Company ist ein weltweit tätiger Getränkekonzern. Das Unternehmen entwickelt, produziert und vermarkte</w:t>
      </w:r>
      <w:r w:rsidR="00082EEB">
        <w:t>t</w:t>
      </w:r>
      <w:r>
        <w:t xml:space="preserve"> viele Produkte, darunter: Cola, Fanta, Mezzo Mix, Zero-Zucker Softdrinks, Wasser, Kaffee. Das Segment der kohlensäurehaltigen Softdrinks bleibt von zentraler Bedeutung. </w:t>
      </w:r>
    </w:p>
    <w:p w14:paraId="10275F44" w14:textId="0C86B17B" w:rsidR="00E24260" w:rsidRDefault="00E24260" w:rsidP="00151A8B">
      <w:pPr>
        <w:pStyle w:val="Listenabsatz"/>
      </w:pPr>
    </w:p>
    <w:p w14:paraId="6BC213B5" w14:textId="44EF11D6" w:rsidR="00E24260" w:rsidRDefault="00E24260" w:rsidP="00151A8B">
      <w:pPr>
        <w:pStyle w:val="Listenabsatz"/>
      </w:pPr>
      <w:r>
        <w:t xml:space="preserve">Das Geschäftsmodell von Coca-Cola basiert auf einem asset-light System. </w:t>
      </w:r>
      <w:r w:rsidR="00082EEB">
        <w:t>Im Mittelpunkt steht</w:t>
      </w:r>
      <w:r>
        <w:t xml:space="preserve"> </w:t>
      </w:r>
      <w:r w:rsidR="00082EEB">
        <w:t>der</w:t>
      </w:r>
      <w:r>
        <w:t xml:space="preserve"> Verkauf von Konzentraten und Sirup an ein globales Netzwerk von Abfüllpartner</w:t>
      </w:r>
      <w:r w:rsidR="00082EEB">
        <w:t>n</w:t>
      </w:r>
      <w:r>
        <w:t>. Diese übernehmen in der Regel die Abfüllung, Verpackung und den Vertrieb im jeweiligen Markt. Dadurch ist das Unternehmen weniger kapitalintensiv aufgestellt und kann sich stärker auf Mark</w:t>
      </w:r>
      <w:r w:rsidR="00D86F1F">
        <w:t>en</w:t>
      </w:r>
      <w:r>
        <w:t xml:space="preserve">führung, Produktentwicklung, </w:t>
      </w:r>
      <w:r w:rsidR="000C40B8">
        <w:t>Produktportfolioerweiterung und Marketing konzentrieren.</w:t>
      </w:r>
    </w:p>
    <w:p w14:paraId="7CA612C3" w14:textId="440A5A24" w:rsidR="000C40B8" w:rsidRDefault="000C40B8" w:rsidP="000C40B8">
      <w:pPr>
        <w:pStyle w:val="Listenabsatz"/>
      </w:pPr>
      <w:r>
        <w:t xml:space="preserve">Das Unternehmen ist international vertreten. Es vertreibt die Produkte über ein internationales System </w:t>
      </w:r>
      <w:r w:rsidR="00082EEB">
        <w:t xml:space="preserve">sowohl </w:t>
      </w:r>
      <w:r>
        <w:t xml:space="preserve">in </w:t>
      </w:r>
      <w:r w:rsidR="00082EEB">
        <w:t>Industrieländer</w:t>
      </w:r>
      <w:r w:rsidR="00D86F1F">
        <w:t>n</w:t>
      </w:r>
      <w:r>
        <w:t xml:space="preserve"> als auch in Schwellenländern. </w:t>
      </w:r>
    </w:p>
    <w:p w14:paraId="5F0B748A" w14:textId="77777777" w:rsidR="000C40B8" w:rsidRDefault="000C40B8" w:rsidP="000C40B8">
      <w:pPr>
        <w:pStyle w:val="Listenabsatz"/>
      </w:pPr>
    </w:p>
    <w:p w14:paraId="08984A8C" w14:textId="5F1D2FE6" w:rsidR="00082EEB" w:rsidRDefault="000C40B8" w:rsidP="000C40B8">
      <w:pPr>
        <w:pStyle w:val="Listenabsatz"/>
      </w:pPr>
      <w:r>
        <w:t xml:space="preserve">Es ist wichtig zu verstehen, dass Coca-Cola nicht einfach nur Softdrinks verkauft, sondern ein globales </w:t>
      </w:r>
      <w:r w:rsidR="00082EEB">
        <w:t>Netzwerk</w:t>
      </w:r>
      <w:r>
        <w:t xml:space="preserve"> </w:t>
      </w:r>
      <w:r w:rsidR="00D86F1F">
        <w:t>steuert</w:t>
      </w:r>
      <w:r>
        <w:t>. Der wirtschaftliche Kern liegt somit nicht nur im Verkauf einzelner Getränke, sondern</w:t>
      </w:r>
      <w:r w:rsidR="00082EEB">
        <w:t xml:space="preserve"> </w:t>
      </w:r>
      <w:r w:rsidR="00D86F1F">
        <w:t>auch i</w:t>
      </w:r>
      <w:r>
        <w:t xml:space="preserve">n </w:t>
      </w:r>
      <w:r w:rsidR="00082EEB">
        <w:t>der globalen Vermarktung</w:t>
      </w:r>
      <w:r w:rsidR="00D86F1F">
        <w:t xml:space="preserve"> und der Nutzung eines weltweit etablierten Abfüll- und Vertriebsnetzwerks. </w:t>
      </w:r>
    </w:p>
    <w:p w14:paraId="6682CA18" w14:textId="77777777" w:rsidR="00151A8B" w:rsidRDefault="00151A8B" w:rsidP="00151A8B"/>
    <w:p w14:paraId="2BAA9691" w14:textId="77777777" w:rsidR="003F70DF" w:rsidRDefault="003F70DF" w:rsidP="00151A8B"/>
    <w:p w14:paraId="43338A54" w14:textId="33394E61" w:rsidR="00A4785E" w:rsidRDefault="00E53349" w:rsidP="00A4785E">
      <w:pPr>
        <w:pStyle w:val="Listenabsatz"/>
        <w:numPr>
          <w:ilvl w:val="0"/>
          <w:numId w:val="1"/>
        </w:numPr>
      </w:pPr>
      <w:r>
        <w:lastRenderedPageBreak/>
        <w:t>Branchenüberblick &amp; Wettbewerbsposition (</w:t>
      </w:r>
      <w:r w:rsidR="00A4785E">
        <w:t>Industry Overview &amp; Compet</w:t>
      </w:r>
      <w:r w:rsidR="00DC2EE5">
        <w:t>i</w:t>
      </w:r>
      <w:r w:rsidR="00A4785E">
        <w:t>tive Positioning</w:t>
      </w:r>
      <w:r>
        <w:t>)</w:t>
      </w:r>
    </w:p>
    <w:p w14:paraId="027AA625" w14:textId="77777777" w:rsidR="00CF7849" w:rsidRDefault="00CF7849" w:rsidP="00CF7849">
      <w:pPr>
        <w:pStyle w:val="Listenabsatz"/>
      </w:pPr>
    </w:p>
    <w:p w14:paraId="7DC531B7" w14:textId="5FC0B071" w:rsidR="00CF7849" w:rsidRDefault="00CF7849" w:rsidP="00CF7849">
      <w:pPr>
        <w:pStyle w:val="Listenabsatz"/>
      </w:pPr>
      <w:r>
        <w:t>The Coca-Cola Company ist in der Branche „Konsumgüter“, genauer „Non-Alcoholic Beverages Industry“ einzuordnen.</w:t>
      </w:r>
      <w:r w:rsidR="00F62C65">
        <w:t xml:space="preserve"> Diese ist ein großer und vergleichsweise defensiver Markt, der in den vergangenen Jahren stetig gewachsen ist. In vielen Industrieländern ist der Markt bereits reif, zusätzlich zeigen die </w:t>
      </w:r>
      <w:r>
        <w:t xml:space="preserve">letzten Jahre </w:t>
      </w:r>
      <w:r w:rsidR="00F62C65">
        <w:t>Wachstumsimpulse</w:t>
      </w:r>
      <w:r>
        <w:t xml:space="preserve"> in Schwellenländern. Zukünftiges Wachstum wird über ansteigenden Konsum in Schwellenländern, über Zero-Getränke, Preis/Mix und </w:t>
      </w:r>
      <w:r w:rsidR="00F03AD2">
        <w:t xml:space="preserve">Portfolioerweiterungen </w:t>
      </w:r>
      <w:r>
        <w:t>erzielt.</w:t>
      </w:r>
    </w:p>
    <w:p w14:paraId="7616AA18" w14:textId="77777777" w:rsidR="00CF7849" w:rsidRDefault="00CF7849" w:rsidP="00CF7849">
      <w:pPr>
        <w:pStyle w:val="Listenabsatz"/>
      </w:pPr>
    </w:p>
    <w:p w14:paraId="6291C721" w14:textId="214E0CBA" w:rsidR="00CF7849" w:rsidRDefault="00F62C65" w:rsidP="00CF7849">
      <w:pPr>
        <w:pStyle w:val="Listenabsatz"/>
      </w:pPr>
      <w:r>
        <w:t xml:space="preserve">The </w:t>
      </w:r>
      <w:r w:rsidR="00F03AD2">
        <w:t>Coca-Cola</w:t>
      </w:r>
      <w:r>
        <w:t xml:space="preserve"> Company ist in mehreren Kategorien aktiv, vor allem i</w:t>
      </w:r>
      <w:r w:rsidR="00CF7849">
        <w:t>m Segment „carbonated soft drinks“</w:t>
      </w:r>
      <w:r>
        <w:t xml:space="preserve">. In diesem </w:t>
      </w:r>
      <w:r w:rsidR="00F03AD2">
        <w:t>Segment ist Coca-Cola</w:t>
      </w:r>
      <w:r w:rsidR="00CF7849">
        <w:t xml:space="preserve"> Marktführer.</w:t>
      </w:r>
      <w:r w:rsidRPr="00F62C65">
        <w:t xml:space="preserve"> </w:t>
      </w:r>
      <w:r>
        <w:t xml:space="preserve">The Coca-Cola Company hebt sich </w:t>
      </w:r>
      <w:r w:rsidR="00F03AD2">
        <w:t>durch ihre starke internationale Präsenz,</w:t>
      </w:r>
      <w:r>
        <w:t xml:space="preserve"> </w:t>
      </w:r>
      <w:r w:rsidR="00F03AD2">
        <w:t xml:space="preserve">ihr </w:t>
      </w:r>
      <w:r>
        <w:t>etablierte</w:t>
      </w:r>
      <w:r w:rsidR="00F03AD2">
        <w:t xml:space="preserve">s </w:t>
      </w:r>
      <w:r>
        <w:t>Distributionsnetzwer</w:t>
      </w:r>
      <w:r w:rsidR="00F03AD2">
        <w:t>k</w:t>
      </w:r>
      <w:r>
        <w:t xml:space="preserve"> und </w:t>
      </w:r>
      <w:r w:rsidR="00F03AD2">
        <w:t>ihre</w:t>
      </w:r>
      <w:r>
        <w:t xml:space="preserve"> starke</w:t>
      </w:r>
      <w:r w:rsidR="00F03AD2">
        <w:t xml:space="preserve"> </w:t>
      </w:r>
      <w:r>
        <w:t>Marktstellung hervor</w:t>
      </w:r>
      <w:r w:rsidR="00F03AD2">
        <w:t>.</w:t>
      </w:r>
    </w:p>
    <w:p w14:paraId="16F92A25" w14:textId="77777777" w:rsidR="00CF7849" w:rsidRDefault="00CF7849" w:rsidP="00CF7849">
      <w:pPr>
        <w:pStyle w:val="Listenabsatz"/>
      </w:pPr>
    </w:p>
    <w:p w14:paraId="7D04025F" w14:textId="70A41192" w:rsidR="00CF7849" w:rsidRDefault="00CF7849" w:rsidP="00CF7849">
      <w:pPr>
        <w:pStyle w:val="Listenabsatz"/>
      </w:pPr>
      <w:r>
        <w:t>Zu den größten Konkurrenten zählen Pepsi</w:t>
      </w:r>
      <w:r w:rsidR="00F03AD2">
        <w:t>Co</w:t>
      </w:r>
      <w:r>
        <w:t xml:space="preserve"> und Keurig Dr Pepper</w:t>
      </w:r>
      <w:r w:rsidR="00F62C65">
        <w:t>. Der Wettbewerb gilt a</w:t>
      </w:r>
      <w:r w:rsidR="00F03AD2">
        <w:t>ls intensiv, weil nicht nur der Preis, sondern auch Markenstärke, Reg</w:t>
      </w:r>
      <w:r w:rsidR="00E61998">
        <w:t>a</w:t>
      </w:r>
      <w:r w:rsidR="00F03AD2">
        <w:t>lplatzierung und Marketing eine entscheidende Rolle spielt.</w:t>
      </w:r>
      <w:r w:rsidR="00F62C65">
        <w:t xml:space="preserve"> </w:t>
      </w:r>
    </w:p>
    <w:p w14:paraId="392D7729" w14:textId="77777777" w:rsidR="00CF7849" w:rsidRDefault="00CF7849" w:rsidP="00CF7849"/>
    <w:p w14:paraId="16C987BF" w14:textId="7F554B5A" w:rsidR="00A4785E" w:rsidRDefault="00E53349" w:rsidP="00A4785E">
      <w:pPr>
        <w:pStyle w:val="Listenabsatz"/>
        <w:numPr>
          <w:ilvl w:val="0"/>
          <w:numId w:val="1"/>
        </w:numPr>
      </w:pPr>
      <w:r>
        <w:t>Unternehmensqualität &amp; Wettbewerbsvorteile (</w:t>
      </w:r>
      <w:r w:rsidR="00A4785E">
        <w:t>Business</w:t>
      </w:r>
      <w:r w:rsidR="00AB39DC">
        <w:t xml:space="preserve"> </w:t>
      </w:r>
      <w:r>
        <w:t>Quality</w:t>
      </w:r>
      <w:r w:rsidR="00A4785E">
        <w:t xml:space="preserve"> &amp; Moat</w:t>
      </w:r>
      <w:r>
        <w:t>)</w:t>
      </w:r>
    </w:p>
    <w:p w14:paraId="70C63C56" w14:textId="77777777" w:rsidR="00BE3912" w:rsidRDefault="00BE3912" w:rsidP="00BE3912">
      <w:pPr>
        <w:pStyle w:val="Listenabsatz"/>
      </w:pPr>
    </w:p>
    <w:p w14:paraId="3AC5469D" w14:textId="778886C5" w:rsidR="00890B41" w:rsidRDefault="00BE3912" w:rsidP="00BE3912">
      <w:pPr>
        <w:pStyle w:val="Listenabsatz"/>
      </w:pPr>
      <w:r>
        <w:t xml:space="preserve">The Coca-Cola Company zeichnet sich vor allem durch </w:t>
      </w:r>
      <w:r w:rsidR="00890B41">
        <w:t>ihre</w:t>
      </w:r>
      <w:r>
        <w:t xml:space="preserve"> Markenstärke und </w:t>
      </w:r>
      <w:r w:rsidR="00890B41">
        <w:t>ihr</w:t>
      </w:r>
      <w:r>
        <w:t xml:space="preserve"> asset-light</w:t>
      </w:r>
      <w:r w:rsidR="00B51EBB">
        <w:t>-</w:t>
      </w:r>
      <w:r>
        <w:t xml:space="preserve">Modell aus. </w:t>
      </w:r>
      <w:r w:rsidR="00890B41">
        <w:t>Das asset-light</w:t>
      </w:r>
      <w:r w:rsidR="00B51EBB">
        <w:t>-</w:t>
      </w:r>
      <w:r w:rsidR="00890B41">
        <w:t>Modell erlaubt es dem Unternehmen sich unter anderem auf Markenführung, Marketing und Portfolioerweiterung zu konzentrieren, während der logistische Teil bei den Abfüllpartnern liegt. Gleichzeitig stärkt die hohe Markenbekanntheit die Marktposition des Unternehmens.</w:t>
      </w:r>
    </w:p>
    <w:p w14:paraId="0CFD7353" w14:textId="77777777" w:rsidR="00890B41" w:rsidRDefault="00890B41" w:rsidP="00BE3912">
      <w:pPr>
        <w:pStyle w:val="Listenabsatz"/>
      </w:pPr>
    </w:p>
    <w:p w14:paraId="48FA2EB2" w14:textId="4137A9CF" w:rsidR="00BE3912" w:rsidRDefault="00BE3912" w:rsidP="00BE3912">
      <w:pPr>
        <w:pStyle w:val="Listenabsatz"/>
      </w:pPr>
      <w:r>
        <w:t xml:space="preserve">Weiters </w:t>
      </w:r>
      <w:r w:rsidR="00890B41">
        <w:t>verfügt</w:t>
      </w:r>
      <w:r>
        <w:t xml:space="preserve"> das Unternehmen </w:t>
      </w:r>
      <w:r w:rsidR="00890B41">
        <w:t>über</w:t>
      </w:r>
      <w:r>
        <w:t xml:space="preserve"> Preissetzungsmacht </w:t>
      </w:r>
      <w:r w:rsidR="00890B41">
        <w:t>und kann Skalenvorteile n</w:t>
      </w:r>
      <w:r w:rsidR="00B51EBB">
        <w:t>u</w:t>
      </w:r>
      <w:r w:rsidR="00890B41">
        <w:t>tzen. Dies erlaubt dem Unternehmen, Kosten</w:t>
      </w:r>
      <w:r w:rsidR="00B51EBB">
        <w:t>steigerung</w:t>
      </w:r>
      <w:r w:rsidR="00890B41">
        <w:t xml:space="preserve"> zumindest teilweise dem Konsumenten weiterzugeben und seine Produkte somit weiterhin profitabel zu vermarkten. Hinzu komm</w:t>
      </w:r>
      <w:r w:rsidR="00B51EBB">
        <w:t>t</w:t>
      </w:r>
      <w:r w:rsidR="00890B41">
        <w:t xml:space="preserve"> eine robuste Nachfrage und ein</w:t>
      </w:r>
      <w:r w:rsidR="00B51EBB">
        <w:t xml:space="preserve"> </w:t>
      </w:r>
      <w:r w:rsidR="00890B41">
        <w:t>hohe</w:t>
      </w:r>
      <w:r w:rsidR="00B51EBB">
        <w:t>r</w:t>
      </w:r>
      <w:r w:rsidR="00890B41">
        <w:t xml:space="preserve"> Anteil an treuen Kunden, die das Geschäftsmodell zusätzlich stützen. </w:t>
      </w:r>
    </w:p>
    <w:p w14:paraId="73AD91BF" w14:textId="77777777" w:rsidR="00BE3912" w:rsidRDefault="00BE3912" w:rsidP="00BE3912">
      <w:pPr>
        <w:pStyle w:val="Listenabsatz"/>
      </w:pPr>
    </w:p>
    <w:p w14:paraId="4AAADE3C" w14:textId="3070B0BF" w:rsidR="00890B41" w:rsidRDefault="00890B41" w:rsidP="00BE3912">
      <w:pPr>
        <w:pStyle w:val="Listenabsatz"/>
      </w:pPr>
      <w:r>
        <w:t>Diese Eigenschaften führen dazu, dass Coca-Cola wirtschaftlich stark aufgestellt ist und es für Wettbewerber schwierig ist, dem Unternehmen dauerhaft Marktanteile abzunehmen.</w:t>
      </w:r>
    </w:p>
    <w:p w14:paraId="4E0D6492" w14:textId="77777777" w:rsidR="00BE3912" w:rsidRDefault="00BE3912" w:rsidP="00BE3912">
      <w:pPr>
        <w:pStyle w:val="Listenabsatz"/>
      </w:pPr>
    </w:p>
    <w:p w14:paraId="3A61FA21" w14:textId="77777777" w:rsidR="003F70DF" w:rsidRDefault="003F70DF" w:rsidP="00BE3912">
      <w:pPr>
        <w:pStyle w:val="Listenabsatz"/>
      </w:pPr>
    </w:p>
    <w:p w14:paraId="2AA11D12" w14:textId="77777777" w:rsidR="00BE3912" w:rsidRDefault="00BE3912" w:rsidP="00BE3912">
      <w:pPr>
        <w:pStyle w:val="Listenabsatz"/>
      </w:pPr>
    </w:p>
    <w:p w14:paraId="76FD54B6" w14:textId="798A910C" w:rsidR="00A4785E" w:rsidRDefault="00DC2EE5" w:rsidP="00A4785E">
      <w:pPr>
        <w:pStyle w:val="Listenabsatz"/>
        <w:numPr>
          <w:ilvl w:val="0"/>
          <w:numId w:val="1"/>
        </w:numPr>
      </w:pPr>
      <w:r>
        <w:lastRenderedPageBreak/>
        <w:t>Finanzanalyse &amp; Kapitalallokation (</w:t>
      </w:r>
      <w:r w:rsidR="00A4785E">
        <w:t xml:space="preserve">Financial Analysis </w:t>
      </w:r>
      <w:r>
        <w:t>&amp; Capital Allocation)</w:t>
      </w:r>
    </w:p>
    <w:p w14:paraId="721719CD" w14:textId="6E50FA08" w:rsidR="00EF74C9" w:rsidRDefault="00EF74C9" w:rsidP="003F70DF"/>
    <w:p w14:paraId="717C7FE5" w14:textId="0C03EDA9" w:rsidR="005E0E92" w:rsidRDefault="00EF74C9" w:rsidP="00EF74C9">
      <w:pPr>
        <w:pStyle w:val="Listenabsatz"/>
      </w:pPr>
      <w:r>
        <w:t xml:space="preserve">The Coca-Cola Company weist für das Jahr 2025 ein Umsatzwachstum von 1,87% auf. </w:t>
      </w:r>
      <w:r w:rsidR="005E0E92">
        <w:t xml:space="preserve">Zusammengesetzt ist dieses durch einen Anstieg von 1% in Volumen und 4% Price/Mix abzüglich 2% aufgrund von Wechselkurseffekten und -1% durch Akquisitionen, Deinvestitionen oder strukturelle Änderungen. Dadurch wird deutlich, dass das Wachstum im Jahr 2025 vor allem von Price/Mix getrieben war </w:t>
      </w:r>
      <w:r w:rsidR="000501C4">
        <w:t xml:space="preserve">und </w:t>
      </w:r>
      <w:r w:rsidR="005E0E92">
        <w:t xml:space="preserve">nicht </w:t>
      </w:r>
      <w:r w:rsidR="00565A37">
        <w:t xml:space="preserve">primär </w:t>
      </w:r>
      <w:r w:rsidR="005E0E92">
        <w:t xml:space="preserve">durch </w:t>
      </w:r>
      <w:r w:rsidR="00565A37">
        <w:t>höheren</w:t>
      </w:r>
      <w:r w:rsidR="005E0E92">
        <w:t xml:space="preserve"> Absatz. Für ein reifes Konsumgüterunternehmen wie Coca-Cola spricht das für Preissetzungsmacht und Markenstärke.</w:t>
      </w:r>
    </w:p>
    <w:p w14:paraId="7445B3B2" w14:textId="336C8BE1" w:rsidR="00EF74C9" w:rsidRDefault="005E0E92" w:rsidP="00EF74C9">
      <w:pPr>
        <w:pStyle w:val="Listenabsatz"/>
      </w:pPr>
      <w:r>
        <w:t>In den letzten 5 Jahren ist Umsatz um 7.75% p.a gestiegen und der Gewinn im selben Zeitraum um 11.09% p.a. Dies zeigt, dass Coca-Cola nicht nur mehr Umsatz generieren kann, sondern es auch überproportional gut in Gewinn übersetzen kann.</w:t>
      </w:r>
    </w:p>
    <w:p w14:paraId="27861A6D" w14:textId="38B7BA16" w:rsidR="00853DEA" w:rsidRDefault="00494ACC" w:rsidP="003F70DF">
      <w:pPr>
        <w:pStyle w:val="Listenabsatz"/>
      </w:pPr>
      <w:r>
        <w:t>Die ausgewiesene Umsatzen</w:t>
      </w:r>
      <w:r w:rsidR="003F70DF">
        <w:t>t</w:t>
      </w:r>
      <w:r>
        <w:t>wicklung wirkt auf den ersten Blick nur moderat, wurde jedoch aufgrund von Wechselkurseffekten und Akquisition, Deinvestitionen oder strukturelle Änderungen gedämpft. Das bedeutet, dass das operative Wachstum stärker ausgefallen ist.</w:t>
      </w:r>
    </w:p>
    <w:p w14:paraId="44584360" w14:textId="77777777" w:rsidR="003F70DF" w:rsidRDefault="003F70DF" w:rsidP="003F70DF">
      <w:pPr>
        <w:pStyle w:val="Listenabsatz"/>
      </w:pPr>
    </w:p>
    <w:p w14:paraId="2B0F8A9B" w14:textId="2057C76A" w:rsidR="00C50CB0" w:rsidRPr="003F70DF" w:rsidRDefault="00853DEA" w:rsidP="003F70DF">
      <w:pPr>
        <w:pStyle w:val="Listenabsatz"/>
      </w:pPr>
      <w:r>
        <w:t>Die hohe Bruttoma</w:t>
      </w:r>
      <w:r w:rsidR="001270C6">
        <w:t>r</w:t>
      </w:r>
      <w:r>
        <w:t>ge (61,</w:t>
      </w:r>
      <w:r w:rsidR="003F70DF">
        <w:t>74</w:t>
      </w:r>
      <w:r>
        <w:t>%) passt zur Markenstärke und zum asset-light Modell von Coca-Cola. Die EBIT-Marge (</w:t>
      </w:r>
      <w:r w:rsidR="003F70DF">
        <w:t>29,34</w:t>
      </w:r>
      <w:r>
        <w:t>%) unterstreicht die Profitabilität des Geschäftsmodells</w:t>
      </w:r>
      <w:r w:rsidR="001270C6">
        <w:t>. Sie</w:t>
      </w:r>
      <w:r>
        <w:t xml:space="preserve"> zeigt, dass das Unternehmen </w:t>
      </w:r>
      <w:r w:rsidR="001270C6">
        <w:t>auch nach Abzug aller operativen Kosten einen hohen Gewinn verzeichnet</w:t>
      </w:r>
      <w:r>
        <w:t xml:space="preserve">. Im Vergleich zum </w:t>
      </w:r>
      <w:r w:rsidR="006907B1">
        <w:t>D</w:t>
      </w:r>
      <w:r>
        <w:t>rei</w:t>
      </w:r>
      <w:r w:rsidR="006907B1">
        <w:t>j</w:t>
      </w:r>
      <w:r>
        <w:t>ahresdurchschnitt (202</w:t>
      </w:r>
      <w:r w:rsidR="00E61998">
        <w:t>2</w:t>
      </w:r>
      <w:r>
        <w:t>-2024) konnte sich die Brutto</w:t>
      </w:r>
      <w:r w:rsidR="006907B1">
        <w:t>-</w:t>
      </w:r>
      <w:r>
        <w:t xml:space="preserve"> und Netto</w:t>
      </w:r>
      <w:r w:rsidR="006907B1">
        <w:t>m</w:t>
      </w:r>
      <w:r>
        <w:t xml:space="preserve">arge verbessern, während die </w:t>
      </w:r>
      <w:r w:rsidR="001270C6">
        <w:t>EBIT-Marge um</w:t>
      </w:r>
      <w:r>
        <w:t xml:space="preserve"> </w:t>
      </w:r>
      <w:r w:rsidR="006907B1">
        <w:t>etwa</w:t>
      </w:r>
      <w:r w:rsidR="001270C6">
        <w:t xml:space="preserve"> einen halben Prozentpunkt</w:t>
      </w:r>
      <w:r>
        <w:t xml:space="preserve"> zurückging. Die starke Entwicklung der Nettomarge ist jedoch nicht auf das operative Geschäft</w:t>
      </w:r>
      <w:r w:rsidR="001270C6">
        <w:t xml:space="preserve"> zurückzuführen,</w:t>
      </w:r>
      <w:r>
        <w:t xml:space="preserve"> sondern wurde durch positive Effekte unter</w:t>
      </w:r>
      <w:r w:rsidR="001270C6">
        <w:t>halb</w:t>
      </w:r>
      <w:r>
        <w:t xml:space="preserve"> de</w:t>
      </w:r>
      <w:r w:rsidR="001270C6">
        <w:t>s</w:t>
      </w:r>
      <w:r>
        <w:t xml:space="preserve"> EBIT beeinflusst. Vor allem Equity Income aus Beteiligungen oder</w:t>
      </w:r>
      <w:r w:rsidR="006907B1">
        <w:t xml:space="preserve"> </w:t>
      </w:r>
      <w:r w:rsidR="00D23125">
        <w:t xml:space="preserve">Gewinne durch den </w:t>
      </w:r>
      <w:r w:rsidR="006907B1">
        <w:t>Verk</w:t>
      </w:r>
      <w:r w:rsidR="00D23125">
        <w:t>auf</w:t>
      </w:r>
      <w:r w:rsidR="006907B1">
        <w:t xml:space="preserve"> bzw. Übertragung von Abfüll- und Vertriebsstrukturen an Partner spielten eine bedeutende Rolle</w:t>
      </w:r>
      <w:r w:rsidR="001270C6">
        <w:t xml:space="preserve">. Für die Bewertung der operativen Stärke bleibt daher die EBIT-Marge </w:t>
      </w:r>
      <w:r w:rsidR="00D23125">
        <w:t>d</w:t>
      </w:r>
      <w:r w:rsidR="001270C6">
        <w:t>ie aussagekräftigere Kennzahl.</w:t>
      </w:r>
    </w:p>
    <w:p w14:paraId="4CEDDD93" w14:textId="77777777" w:rsidR="00D23125" w:rsidRDefault="00D23125" w:rsidP="00EF74C9">
      <w:pPr>
        <w:pStyle w:val="Listenabsatz"/>
      </w:pPr>
    </w:p>
    <w:p w14:paraId="15BE2CE1" w14:textId="2F901649" w:rsidR="005D2163" w:rsidRPr="005D3D15" w:rsidRDefault="00D23125" w:rsidP="009D2D38">
      <w:pPr>
        <w:pStyle w:val="Listenabsatz"/>
      </w:pPr>
      <w:r>
        <w:t xml:space="preserve">Der operative </w:t>
      </w:r>
      <w:r w:rsidR="008F20EF">
        <w:t>Cashflow</w:t>
      </w:r>
      <w:r>
        <w:t xml:space="preserve"> hat sich gegenüber dem Vorjahr verbessert</w:t>
      </w:r>
      <w:r w:rsidR="00366C31">
        <w:t>, lag jedoch weiterhin unter dem Niveau der Jahre 2023 und davor</w:t>
      </w:r>
      <w:r>
        <w:t xml:space="preserve">. </w:t>
      </w:r>
      <w:r w:rsidR="00896D58">
        <w:t>D</w:t>
      </w:r>
      <w:r w:rsidR="00AC7C0C">
        <w:t xml:space="preserve">ie Aussagekraft der aktuellen Werte ist jedoch eingeschränkt, weil Coca-Cola vertraglich </w:t>
      </w:r>
      <w:r>
        <w:t xml:space="preserve">vereinbarte </w:t>
      </w:r>
      <w:r w:rsidR="00AC7C0C">
        <w:t xml:space="preserve">nachträgliche </w:t>
      </w:r>
      <w:r>
        <w:t>Zahlungen</w:t>
      </w:r>
      <w:r w:rsidR="00AC7C0C">
        <w:t xml:space="preserve"> im Zusammenhang mit der Akquisition von fairlife leisten musste. </w:t>
      </w:r>
      <w:r w:rsidR="00F04529">
        <w:t xml:space="preserve">Im März 2025 wurde die letzte vertraglich vereinbarte Nachzahlung aus der fairlife-Akquisition geleistet. </w:t>
      </w:r>
      <w:r>
        <w:t xml:space="preserve">Diese </w:t>
      </w:r>
      <w:r w:rsidR="00AC7C0C">
        <w:t>Zahlungen</w:t>
      </w:r>
      <w:r>
        <w:t xml:space="preserve"> </w:t>
      </w:r>
      <w:r w:rsidR="008F20EF">
        <w:t>beeinfluss</w:t>
      </w:r>
      <w:r w:rsidR="00F04529">
        <w:t>t</w:t>
      </w:r>
      <w:r w:rsidR="00AC7C0C">
        <w:t>en nicht nur den operativen Cashflow, sondern auch</w:t>
      </w:r>
      <w:r>
        <w:t xml:space="preserve"> den Free </w:t>
      </w:r>
      <w:r w:rsidR="008F20EF">
        <w:t>Cashflow</w:t>
      </w:r>
      <w:r w:rsidR="008558FB">
        <w:t xml:space="preserve">. </w:t>
      </w:r>
      <w:r w:rsidR="009D2D38">
        <w:t>Auf Basis des um die fairlife-Zahlung bereinigten Free Cashflows lag die</w:t>
      </w:r>
      <w:r w:rsidR="00F04529">
        <w:t xml:space="preserve"> </w:t>
      </w:r>
      <w:r w:rsidR="008558FB">
        <w:t xml:space="preserve">FCF Payout Ratio </w:t>
      </w:r>
      <w:r w:rsidR="009D2D38">
        <w:t>bei ca. 77%. Dies</w:t>
      </w:r>
      <w:r w:rsidR="008558FB">
        <w:t xml:space="preserve"> ist</w:t>
      </w:r>
      <w:r w:rsidR="008F20EF">
        <w:t xml:space="preserve"> </w:t>
      </w:r>
      <w:r w:rsidR="008558FB">
        <w:t>für ein reifes Konsumgüterunternehmen</w:t>
      </w:r>
      <w:r w:rsidR="00AC7C0C">
        <w:t xml:space="preserve"> nicht </w:t>
      </w:r>
      <w:r w:rsidR="00AC7C0C">
        <w:lastRenderedPageBreak/>
        <w:t>außergewöhnlich</w:t>
      </w:r>
      <w:r w:rsidR="009D2D38">
        <w:t xml:space="preserve"> und zeigt, dass die ausgeschütteten</w:t>
      </w:r>
      <w:r w:rsidR="008558FB">
        <w:t xml:space="preserve"> Dividenden </w:t>
      </w:r>
      <w:r w:rsidR="008F20EF">
        <w:t>mit dem FCF</w:t>
      </w:r>
      <w:r w:rsidR="00AC7C0C">
        <w:t xml:space="preserve"> gedeckt werden</w:t>
      </w:r>
      <w:r w:rsidR="009D2D38">
        <w:t xml:space="preserve"> </w:t>
      </w:r>
      <w:r w:rsidR="009D2D38">
        <w:t>können</w:t>
      </w:r>
      <w:r w:rsidR="008F20EF">
        <w:t xml:space="preserve">. Nach Abzug der Dividende bleibt dem Unternehmen </w:t>
      </w:r>
      <w:r w:rsidR="00F04529">
        <w:t>zusätzlicher finanzieller Spielraum,</w:t>
      </w:r>
      <w:r w:rsidR="008F20EF">
        <w:t xml:space="preserve"> um Schulden zu tilgen oder die Dividende zu erhöhen. Die FCF Conversion mit 9</w:t>
      </w:r>
      <w:r w:rsidR="005D3D15">
        <w:t xml:space="preserve">1,7 </w:t>
      </w:r>
      <w:r w:rsidR="008F20EF">
        <w:t>% zeigt, dass Coca-Cola bilanziellen Gewinn sehr gut in echtes Cash übersetzen kann.</w:t>
      </w:r>
    </w:p>
    <w:p w14:paraId="7107F12D" w14:textId="77777777" w:rsidR="00C95D71" w:rsidRDefault="00C95D71" w:rsidP="008A3E1A">
      <w:pPr>
        <w:pStyle w:val="Listenabsatz"/>
      </w:pPr>
    </w:p>
    <w:p w14:paraId="4B7A28A8" w14:textId="3EE166C2" w:rsidR="00C95D71" w:rsidRDefault="00C95D71" w:rsidP="008A3E1A">
      <w:pPr>
        <w:pStyle w:val="Listenabsatz"/>
      </w:pPr>
      <w:r>
        <w:t xml:space="preserve">The Coca-Cola Company weist in ihrer Bilanz ein Net Debt von </w:t>
      </w:r>
      <w:r w:rsidR="005D3D15">
        <w:t>30.070</w:t>
      </w:r>
      <w:r>
        <w:t xml:space="preserve"> Mi</w:t>
      </w:r>
      <w:r w:rsidR="00262E3D">
        <w:t>o. USD</w:t>
      </w:r>
      <w:r>
        <w:t xml:space="preserve"> aus. </w:t>
      </w:r>
      <w:r w:rsidR="00DD4BC7">
        <w:t>Das Verhältnis von Net Debt zu EBITDA liegt bei</w:t>
      </w:r>
      <w:r>
        <w:t xml:space="preserve"> </w:t>
      </w:r>
      <w:r w:rsidR="005D3D15">
        <w:t>1,94</w:t>
      </w:r>
      <w:r w:rsidR="007A6FAF">
        <w:t>, das f</w:t>
      </w:r>
      <w:r w:rsidR="005D4807">
        <w:t>ür ein defensives Konsumgüterunternehmen wie Coca-Cola gut tragbar</w:t>
      </w:r>
      <w:r w:rsidR="007A6FAF">
        <w:t xml:space="preserve"> ist</w:t>
      </w:r>
      <w:r w:rsidR="005D4807">
        <w:t xml:space="preserve">. </w:t>
      </w:r>
      <w:r w:rsidR="00027E04">
        <w:t>Im Peer-Vergleich liegt Coca-Cola leicht unter PepsiCo und weit unter Keurig Dr. Pepper.</w:t>
      </w:r>
      <w:r w:rsidR="00262E3D">
        <w:t xml:space="preserve"> Die</w:t>
      </w:r>
      <w:r w:rsidR="00027E04">
        <w:t xml:space="preserve"> Interest-Coverage</w:t>
      </w:r>
      <w:r w:rsidR="00DD4BC7">
        <w:t>-</w:t>
      </w:r>
      <w:r w:rsidR="00027E04">
        <w:t>Ratio von 8,</w:t>
      </w:r>
      <w:r w:rsidR="005D3D15">
        <w:t>8</w:t>
      </w:r>
      <w:r w:rsidR="00027E04">
        <w:t xml:space="preserve"> unterstreicht die finanzielle Stabilität des Unternehmens. Das Unternehmen </w:t>
      </w:r>
      <w:r w:rsidR="007A6FAF">
        <w:t xml:space="preserve">kann die </w:t>
      </w:r>
      <w:r w:rsidR="00027E04">
        <w:t>Finanzierungskosten</w:t>
      </w:r>
      <w:r w:rsidR="007A6FAF">
        <w:t xml:space="preserve"> gut</w:t>
      </w:r>
      <w:r w:rsidR="00027E04">
        <w:t xml:space="preserve"> aus dem operativen Ergebnis</w:t>
      </w:r>
      <w:r w:rsidR="00DD4BC7">
        <w:t xml:space="preserve"> </w:t>
      </w:r>
      <w:r w:rsidR="00027E04">
        <w:t>stemmen.</w:t>
      </w:r>
    </w:p>
    <w:p w14:paraId="78BA353E" w14:textId="77777777" w:rsidR="007A6FAF" w:rsidRDefault="007A6FAF" w:rsidP="008A3E1A">
      <w:pPr>
        <w:pStyle w:val="Listenabsatz"/>
      </w:pPr>
    </w:p>
    <w:p w14:paraId="71C7EFE2" w14:textId="23731A52" w:rsidR="005D2163" w:rsidRPr="005D3D15" w:rsidRDefault="00951C1D" w:rsidP="005D3D15">
      <w:pPr>
        <w:pStyle w:val="Listenabsatz"/>
      </w:pPr>
      <w:r>
        <w:t xml:space="preserve">Die Schulden des Unternehmens </w:t>
      </w:r>
      <w:r w:rsidR="005D3D15">
        <w:t xml:space="preserve">im Geschäftsjahr 2025 </w:t>
      </w:r>
      <w:r>
        <w:t>sind aufgeteilt in 42.119 Mi</w:t>
      </w:r>
      <w:r w:rsidR="007A6FAF">
        <w:t>o.</w:t>
      </w:r>
      <w:r>
        <w:t xml:space="preserve"> </w:t>
      </w:r>
      <w:r w:rsidR="007A6FAF">
        <w:t xml:space="preserve">USD </w:t>
      </w:r>
      <w:r>
        <w:t>long term debt und 1</w:t>
      </w:r>
      <w:r w:rsidR="00262E3D">
        <w:t>.</w:t>
      </w:r>
      <w:r>
        <w:t>551 Mi</w:t>
      </w:r>
      <w:r w:rsidR="007A6FAF">
        <w:t>o. USD</w:t>
      </w:r>
      <w:r>
        <w:t xml:space="preserve"> short term debt. Innerhalb der nächsten 12 Monate</w:t>
      </w:r>
      <w:r w:rsidR="00262E3D">
        <w:t xml:space="preserve"> </w:t>
      </w:r>
      <w:r>
        <w:t>wird zusätzlich zum short term debt 1</w:t>
      </w:r>
      <w:r w:rsidR="00262E3D">
        <w:t>.</w:t>
      </w:r>
      <w:r>
        <w:t>822 Mi</w:t>
      </w:r>
      <w:r w:rsidR="007A6FAF">
        <w:t xml:space="preserve">o. </w:t>
      </w:r>
      <w:r>
        <w:t>an long term debt fällig. Bis 2030 werden 15</w:t>
      </w:r>
      <w:r w:rsidR="00262E3D">
        <w:t>.</w:t>
      </w:r>
      <w:r>
        <w:t>928 Mi</w:t>
      </w:r>
      <w:r w:rsidR="007A6FAF">
        <w:t>o. USD</w:t>
      </w:r>
      <w:r>
        <w:t xml:space="preserve"> an long term debt fällig,</w:t>
      </w:r>
      <w:r w:rsidR="007A6FAF">
        <w:t xml:space="preserve"> darunter 4</w:t>
      </w:r>
      <w:r w:rsidR="00262E3D">
        <w:t>.</w:t>
      </w:r>
      <w:r w:rsidR="007A6FAF">
        <w:t xml:space="preserve">817 Mio USD </w:t>
      </w:r>
      <w:r w:rsidR="00262E3D">
        <w:t>im Jahr 2027</w:t>
      </w:r>
      <w:r w:rsidR="00DD4BC7">
        <w:t>.</w:t>
      </w:r>
      <w:r w:rsidR="007A6FAF">
        <w:t xml:space="preserve"> </w:t>
      </w:r>
      <w:r w:rsidR="00262E3D">
        <w:t xml:space="preserve">Für </w:t>
      </w:r>
      <w:r w:rsidR="00DD4BC7">
        <w:t>Coca-Cola</w:t>
      </w:r>
      <w:r w:rsidR="007A6FAF">
        <w:t xml:space="preserve"> ist dies aus heutiger Sicht weniger eine Insolvenz</w:t>
      </w:r>
      <w:r w:rsidR="00DD4BC7">
        <w:t>g</w:t>
      </w:r>
      <w:r w:rsidR="007A6FAF">
        <w:t xml:space="preserve">efahr, sondern mehr ein Kostenthema für die Zukunft. Sollten die Verbindlichkeiten zu höheren Zinsen refinanziert werden, wird dies die Finanzierungskosten erhöhen und somit den finanziellen Spielraum etwas einengen. </w:t>
      </w:r>
    </w:p>
    <w:p w14:paraId="553BF1F5" w14:textId="77777777" w:rsidR="007A647B" w:rsidRDefault="007A647B" w:rsidP="008A3E1A">
      <w:pPr>
        <w:pStyle w:val="Listenabsatz"/>
      </w:pPr>
    </w:p>
    <w:p w14:paraId="5F037E40" w14:textId="0FDE3349" w:rsidR="00262E3D" w:rsidRDefault="00262E3D" w:rsidP="008A3E1A">
      <w:pPr>
        <w:pStyle w:val="Listenabsatz"/>
      </w:pPr>
      <w:r>
        <w:t>The Coca-Cola Company zahlte im Jahr 2025 eine Dividende von 2,04 pro Aktie</w:t>
      </w:r>
      <w:r w:rsidR="00B62028">
        <w:t>,</w:t>
      </w:r>
      <w:r>
        <w:t xml:space="preserve"> was einer </w:t>
      </w:r>
      <w:r w:rsidR="00DA6AC9">
        <w:t xml:space="preserve">gesamten Dividendenauszahlung in Höhe von 8.779 Mio. </w:t>
      </w:r>
      <w:r w:rsidR="007A647B">
        <w:t>USD</w:t>
      </w:r>
      <w:r w:rsidR="00DA6AC9">
        <w:t xml:space="preserve"> und einer </w:t>
      </w:r>
      <w:r>
        <w:t xml:space="preserve">Dividendenrendite von etwa 2,7% entspricht. Das Dividendenwachstum der letzten </w:t>
      </w:r>
      <w:r w:rsidR="00DA6AC9">
        <w:t xml:space="preserve">5 und </w:t>
      </w:r>
      <w:r>
        <w:t>10 Jahre beträgt 4,45%</w:t>
      </w:r>
      <w:r w:rsidR="00DA6AC9">
        <w:t xml:space="preserve">. Außerdem wurde die Dividende pro Aktie </w:t>
      </w:r>
      <w:r w:rsidR="00F24A9D">
        <w:t xml:space="preserve">64 Jahre in Folge erhöht, </w:t>
      </w:r>
      <w:r w:rsidR="00DA6AC9">
        <w:t xml:space="preserve">was auf eine stetige </w:t>
      </w:r>
      <w:r w:rsidR="007A647B">
        <w:t xml:space="preserve">und </w:t>
      </w:r>
      <w:r w:rsidR="00DA6AC9">
        <w:t>planbare Dividendenpolitik hindeutet.</w:t>
      </w:r>
    </w:p>
    <w:p w14:paraId="3BB5DAB1" w14:textId="446F97D1" w:rsidR="00B62028" w:rsidRDefault="00265FAF" w:rsidP="008A3E1A">
      <w:pPr>
        <w:pStyle w:val="Listenabsatz"/>
      </w:pPr>
      <w:r>
        <w:t xml:space="preserve">Im Jahr 2025 wurden Aktien im Wert von </w:t>
      </w:r>
      <w:r w:rsidR="00AF71EB">
        <w:t>634</w:t>
      </w:r>
      <w:r>
        <w:t xml:space="preserve"> Mio. </w:t>
      </w:r>
      <w:r w:rsidR="007A647B">
        <w:t>USD</w:t>
      </w:r>
      <w:r>
        <w:t xml:space="preserve"> zurückgekauft</w:t>
      </w:r>
      <w:r w:rsidR="00AF71EB">
        <w:t>. Der Netto-Cash-Abfluss aus Aktienausgaben und Aktienrückkäufen lag bei 433 Mio. USD</w:t>
      </w:r>
      <w:r w:rsidR="007A647B">
        <w:t xml:space="preserve"> und dadurch ist die Anzahl der Aktien (diluted) um 7 Mio. Aktien gesunken. Dies deutet darauf hin, dass die Rückkäufe den Aktionären zugutekommen, jedoch </w:t>
      </w:r>
    </w:p>
    <w:p w14:paraId="023F8D92" w14:textId="2060C6C3" w:rsidR="00265FAF" w:rsidRDefault="007A647B" w:rsidP="008A3E1A">
      <w:pPr>
        <w:pStyle w:val="Listenabsatz"/>
      </w:pPr>
      <w:r>
        <w:t>nur eine ergänzende Rolle spielen.</w:t>
      </w:r>
    </w:p>
    <w:p w14:paraId="41998D4D" w14:textId="168D096F" w:rsidR="008A3E1A" w:rsidRDefault="007A647B" w:rsidP="005D3D15">
      <w:pPr>
        <w:pStyle w:val="Listenabsatz"/>
      </w:pPr>
      <w:r>
        <w:t xml:space="preserve">Coca-Cola allokiert Kapital primär über Dividenden. Es gibt zwar </w:t>
      </w:r>
      <w:r w:rsidR="00B62028">
        <w:t>Rückkäufe,</w:t>
      </w:r>
      <w:r>
        <w:t xml:space="preserve"> aber diese spiele</w:t>
      </w:r>
      <w:r w:rsidR="00B62028">
        <w:t>n</w:t>
      </w:r>
      <w:r>
        <w:t xml:space="preserve"> eine vergleichs</w:t>
      </w:r>
      <w:r w:rsidR="00B62028">
        <w:t xml:space="preserve">weise </w:t>
      </w:r>
      <w:r>
        <w:t>untergeordnete Rolle. In</w:t>
      </w:r>
      <w:r w:rsidR="00B62028">
        <w:t>s</w:t>
      </w:r>
      <w:r>
        <w:t>gesamt kann man zusammenfassen, dass die Kapitalallokation von Coca-Cola aktionär</w:t>
      </w:r>
      <w:r w:rsidR="00B62028">
        <w:t>s</w:t>
      </w:r>
      <w:r>
        <w:t xml:space="preserve">freundlich, diszipliniert und </w:t>
      </w:r>
      <w:r w:rsidR="00B62028">
        <w:t>passend zu einem reifen Konsumgüterunternehmen ist.</w:t>
      </w:r>
    </w:p>
    <w:p w14:paraId="63019F0E" w14:textId="77777777" w:rsidR="005D3D15" w:rsidRDefault="005D3D15" w:rsidP="005D3D15">
      <w:pPr>
        <w:pStyle w:val="Listenabsatz"/>
      </w:pPr>
    </w:p>
    <w:p w14:paraId="1445462F" w14:textId="77777777" w:rsidR="00AF71EB" w:rsidRDefault="00AF71EB" w:rsidP="005D3D15">
      <w:pPr>
        <w:pStyle w:val="Listenabsatz"/>
      </w:pPr>
    </w:p>
    <w:p w14:paraId="53554175" w14:textId="77777777" w:rsidR="00AF71EB" w:rsidRDefault="00AF71EB" w:rsidP="005D3D15">
      <w:pPr>
        <w:pStyle w:val="Listenabsatz"/>
      </w:pPr>
    </w:p>
    <w:p w14:paraId="3C351D17" w14:textId="77777777" w:rsidR="005D3D15" w:rsidRDefault="005D3D15" w:rsidP="005D3D15">
      <w:pPr>
        <w:pStyle w:val="Listenabsatz"/>
      </w:pPr>
    </w:p>
    <w:p w14:paraId="69AFBD31" w14:textId="766C5F11" w:rsidR="00A4785E" w:rsidRDefault="00E53349" w:rsidP="00A4785E">
      <w:pPr>
        <w:pStyle w:val="Listenabsatz"/>
        <w:numPr>
          <w:ilvl w:val="0"/>
          <w:numId w:val="1"/>
        </w:numPr>
      </w:pPr>
      <w:r>
        <w:t>Bewertung (</w:t>
      </w:r>
      <w:r w:rsidR="00A4785E">
        <w:t>Valuation</w:t>
      </w:r>
      <w:r>
        <w:t>)</w:t>
      </w:r>
    </w:p>
    <w:p w14:paraId="390C907C" w14:textId="77777777" w:rsidR="00A07219" w:rsidRDefault="00A07219" w:rsidP="00A07219">
      <w:pPr>
        <w:pStyle w:val="Listenabsatz"/>
      </w:pPr>
    </w:p>
    <w:p w14:paraId="7C22E0CE" w14:textId="60FC3AA2" w:rsidR="00A07219" w:rsidRDefault="00A07219" w:rsidP="00A07219">
      <w:pPr>
        <w:pStyle w:val="Listenabsatz"/>
      </w:pPr>
      <w:r>
        <w:t>Die Bewertung basiert auf einer Free-Cashflow-orientierten Bewert</w:t>
      </w:r>
      <w:r w:rsidR="004F4BBE">
        <w:t>ung</w:t>
      </w:r>
      <w:r>
        <w:t xml:space="preserve"> und einer relativen Bewertung anhand ausgewählter Konkurrenten. Die Cashflow Bewertung eignet sich aufgrund des reifen Geschäftsmodells, der hohen Cashfl</w:t>
      </w:r>
      <w:r w:rsidR="00E90F48">
        <w:t>o</w:t>
      </w:r>
      <w:r>
        <w:t>w Stabilität und des asset-light Modells am besten. Zusätzlich dazu wird eine multiple Bewertung durchgeführt.</w:t>
      </w:r>
    </w:p>
    <w:p w14:paraId="55D0F9CC" w14:textId="77777777" w:rsidR="00A07219" w:rsidRDefault="00A07219" w:rsidP="00A07219">
      <w:pPr>
        <w:pStyle w:val="Listenabsatz"/>
      </w:pPr>
    </w:p>
    <w:p w14:paraId="6F57F1BA" w14:textId="5682D6AE" w:rsidR="001B32BB" w:rsidRDefault="00A07219" w:rsidP="005273ED">
      <w:pPr>
        <w:pStyle w:val="Listenabsatz"/>
      </w:pPr>
      <w:r>
        <w:t>Für die Bewertung verwende ich den b</w:t>
      </w:r>
      <w:r w:rsidR="00E90F48">
        <w:t xml:space="preserve">ereinigten </w:t>
      </w:r>
      <w:r>
        <w:t xml:space="preserve">Free-Cash-Flow, weil dieser im Jahr 2025 durch die fairlife Zahlung beeinflusst wurde. Das Unternehmen erzielte 2025 einen FCF von 5.300 Mio. USD. Ohne die fairlife Zahlung lag dieser bei 11.400 Mio. USD. </w:t>
      </w:r>
      <w:r w:rsidR="005273ED">
        <w:t>Für 2026 erwartet Coca-Cola einen Free-Cash Flow von rund 12.200 Mio. USD. Dieser Wert wird als Ausgangsbasis für die Bewertung verwendet. Für die Berechnung des fairen Werts je Aktie wird die verwässerte Aktienanzahl von rund 4.313 Mio. Aktien verwendet.</w:t>
      </w:r>
    </w:p>
    <w:p w14:paraId="6DD9A63D" w14:textId="77777777" w:rsidR="005273ED" w:rsidRDefault="005273ED" w:rsidP="005273ED">
      <w:pPr>
        <w:pStyle w:val="Listenabsatz"/>
      </w:pPr>
    </w:p>
    <w:p w14:paraId="311F84CD" w14:textId="38BCF4CD" w:rsidR="001B32BB" w:rsidRDefault="006C1F6A" w:rsidP="00A07219">
      <w:pPr>
        <w:pStyle w:val="Listenabsatz"/>
      </w:pPr>
      <w:r>
        <w:t>Für die Bewertun</w:t>
      </w:r>
      <w:r w:rsidR="00193BFD">
        <w:t>g</w:t>
      </w:r>
      <w:r>
        <w:t xml:space="preserve"> werden drei Szenarien verwendet. </w:t>
      </w:r>
      <w:r w:rsidR="001B32BB">
        <w:t xml:space="preserve">Im Base </w:t>
      </w:r>
      <w:r>
        <w:t>Case</w:t>
      </w:r>
      <w:r w:rsidR="001B32BB">
        <w:t xml:space="preserve"> unterstelle ich Coca-Cola, dass die den FCF in den nächsten</w:t>
      </w:r>
      <w:r>
        <w:t xml:space="preserve"> </w:t>
      </w:r>
      <w:r w:rsidR="00193BFD">
        <w:t>5 Jahren</w:t>
      </w:r>
      <w:r w:rsidR="001B32BB">
        <w:t xml:space="preserve"> um durchschnittlich </w:t>
      </w:r>
      <w:r>
        <w:t xml:space="preserve">3% </w:t>
      </w:r>
      <w:r w:rsidR="001B32BB">
        <w:t>pro Jahr steigern kann.</w:t>
      </w:r>
      <w:r w:rsidR="00193BFD">
        <w:t xml:space="preserve"> In den Jahren fünf bis zehn gehe ich von einem geringeren Wachstum in Höhe von 2,75% aus.</w:t>
      </w:r>
      <w:r w:rsidR="001B32BB">
        <w:t xml:space="preserve"> </w:t>
      </w:r>
      <w:r>
        <w:t>Den Terminal Growth schätze ich in dem Fall auf 2,</w:t>
      </w:r>
      <w:r w:rsidR="00193BFD">
        <w:t>5</w:t>
      </w:r>
      <w:r>
        <w:t xml:space="preserve">%. </w:t>
      </w:r>
      <w:r w:rsidR="00193BFD">
        <w:t xml:space="preserve">Im Bear Case unterstelle ich dem Unternehmen ein FCF-Wachstum von 2% p.a in den nächsten zehn Jahren und im </w:t>
      </w:r>
      <w:r w:rsidR="00B51E76">
        <w:t>B</w:t>
      </w:r>
      <w:r w:rsidR="00193BFD">
        <w:t xml:space="preserve">ull Case ein </w:t>
      </w:r>
      <w:r w:rsidR="005D3D15">
        <w:t>FCF-Wachstum</w:t>
      </w:r>
      <w:r w:rsidR="00193BFD">
        <w:t xml:space="preserve"> von 4,5% in den nächsten fünf Jahren und 4% von dem fünften bis </w:t>
      </w:r>
      <w:r w:rsidR="005D3D15">
        <w:t>zu zehntem Jahr</w:t>
      </w:r>
      <w:r w:rsidR="00193BFD">
        <w:t xml:space="preserve">. Im ersteren Fall gehe ich von einem Terminal Growth von 2% aus und im </w:t>
      </w:r>
      <w:r w:rsidR="00B51E76">
        <w:t>B</w:t>
      </w:r>
      <w:r w:rsidR="00193BFD">
        <w:t>ull Case Szenario von 3.</w:t>
      </w:r>
      <w:r w:rsidR="00B51E76">
        <w:t>0</w:t>
      </w:r>
      <w:r w:rsidR="00193BFD">
        <w:t>%.</w:t>
      </w:r>
    </w:p>
    <w:p w14:paraId="7BEEBC51" w14:textId="77777777" w:rsidR="00193BFD" w:rsidRDefault="00193BFD" w:rsidP="00A07219">
      <w:pPr>
        <w:pStyle w:val="Listenabsatz"/>
      </w:pPr>
    </w:p>
    <w:p w14:paraId="7F85BE60" w14:textId="5D8A35AC" w:rsidR="00193BFD" w:rsidRDefault="00193BFD" w:rsidP="00A07219">
      <w:pPr>
        <w:pStyle w:val="Listenabsatz"/>
      </w:pPr>
      <w:r>
        <w:t>Laut dem Capital Asset Pricing Model (CAPM) ergibt sich für Coca-Cola ein Wert von 5,9%. Weil Beta nur historische Kursschwankungen misst</w:t>
      </w:r>
      <w:r w:rsidR="00E90F48">
        <w:t xml:space="preserve"> und Risiken wie künftige Zuckersteuer ausgeklammert werden</w:t>
      </w:r>
      <w:r>
        <w:t>, verwende ich einen Diskontsatz von 6,5%.</w:t>
      </w:r>
    </w:p>
    <w:p w14:paraId="1BB44642" w14:textId="77777777" w:rsidR="00E90F48" w:rsidRDefault="00E90F48" w:rsidP="00A07219">
      <w:pPr>
        <w:pStyle w:val="Listenabsatz"/>
      </w:pPr>
    </w:p>
    <w:p w14:paraId="625CFDA0" w14:textId="4FC08D4E" w:rsidR="00E90F48" w:rsidRDefault="005273ED" w:rsidP="00A43924">
      <w:pPr>
        <w:pStyle w:val="Listenabsatz"/>
      </w:pPr>
      <w:r>
        <w:t>Die prognostizierten Free-Cashflows der Jahre 1-10 werden mit einem Diskontsatz von 6,5% abgezinst. Für die Cashflows ab Jahr 11 wird ein Terminal Value berechnet, der ebenso auf heute abgezinst wird.</w:t>
      </w:r>
      <w:r w:rsidR="00A43924">
        <w:t xml:space="preserve"> Daraus ergibt sich ein</w:t>
      </w:r>
      <w:r w:rsidR="00F24A9D">
        <w:t xml:space="preserve"> </w:t>
      </w:r>
      <w:r w:rsidR="00A43924">
        <w:t xml:space="preserve">fairer </w:t>
      </w:r>
      <w:r w:rsidR="00565A37">
        <w:t xml:space="preserve">Wert </w:t>
      </w:r>
      <w:r w:rsidR="00A43924">
        <w:t xml:space="preserve">im Base Case </w:t>
      </w:r>
      <w:r w:rsidR="00E90F48">
        <w:t>von 322,8 Mrd. USD. Geteilt durch die Anzahl(verwässert) kommt man auf</w:t>
      </w:r>
      <w:r w:rsidR="001B237B">
        <w:t xml:space="preserve"> einen fairen Wert von 74,84</w:t>
      </w:r>
      <w:r w:rsidR="00B51E76">
        <w:t xml:space="preserve"> </w:t>
      </w:r>
      <w:r w:rsidR="001B237B">
        <w:t>USD. Im Bear Case errechne ich einen fairen Wert von</w:t>
      </w:r>
      <w:r w:rsidR="00B51E76">
        <w:t xml:space="preserve"> 64,12 USD und im </w:t>
      </w:r>
      <w:r w:rsidR="007F6F73">
        <w:t>B</w:t>
      </w:r>
      <w:r w:rsidR="00B51E76">
        <w:t xml:space="preserve">ull Case Szenario einen </w:t>
      </w:r>
      <w:r w:rsidR="00A43924">
        <w:t>von</w:t>
      </w:r>
      <w:r w:rsidR="00B51E76">
        <w:t xml:space="preserve"> 92,59 USD.</w:t>
      </w:r>
    </w:p>
    <w:p w14:paraId="5185052A" w14:textId="77777777" w:rsidR="005D3D15" w:rsidRDefault="00B51E76" w:rsidP="005D3D15">
      <w:pPr>
        <w:pStyle w:val="Listenabsatz"/>
      </w:pPr>
      <w:r>
        <w:t>Coca-Cola ist im Base Case Szenario fair bis leicht überbewertet. Eine klare Unterbewertung ergibt sich nur im optimistischen Szenario. Das zeigt, dass die Sicherheitsmarge beim aktuellen Kurs begrenzt ist.</w:t>
      </w:r>
    </w:p>
    <w:p w14:paraId="6606279F" w14:textId="178E84B0" w:rsidR="007F6F73" w:rsidRDefault="007F6F73" w:rsidP="005D3D15">
      <w:pPr>
        <w:pStyle w:val="Listenabsatz"/>
      </w:pPr>
      <w:r>
        <w:lastRenderedPageBreak/>
        <w:br/>
        <w:t xml:space="preserve">Für die relative Bewertung werden PepsiCo und Keurig Dr. Pepper als wichtigste Vergleichsunternehmen verwendet. Beide </w:t>
      </w:r>
      <w:r w:rsidR="00DD4935">
        <w:t>sind im Bereich alkoholfreier Getränke tätig,</w:t>
      </w:r>
      <w:r>
        <w:t xml:space="preserve"> unterscheiden sich jedoch in Geschäftsmodell und Produktportfolio</w:t>
      </w:r>
      <w:r w:rsidR="00DD4935">
        <w:t>.</w:t>
      </w:r>
    </w:p>
    <w:p w14:paraId="7017D198" w14:textId="00F0F2BA" w:rsidR="00925018" w:rsidRDefault="007F6F73" w:rsidP="00A07219">
      <w:pPr>
        <w:pStyle w:val="Listenabsatz"/>
      </w:pPr>
      <w:r>
        <w:br/>
        <w:t>Das Kurs-Gewinn Verhältnis von Coca-Cola beträgt zurzeit 24,</w:t>
      </w:r>
      <w:r w:rsidR="005D3D15">
        <w:t>66</w:t>
      </w:r>
      <w:r w:rsidR="00925018">
        <w:t>x</w:t>
      </w:r>
      <w:r>
        <w:t>. Dieses ist gleich hoch wie das von PepsiCo aber etwas höher als das von Keurig Dr. Pepper</w:t>
      </w:r>
      <w:r w:rsidR="00925018">
        <w:t xml:space="preserve"> mit 21,</w:t>
      </w:r>
      <w:r w:rsidR="005D3D15">
        <w:t>38</w:t>
      </w:r>
      <w:r w:rsidR="00925018">
        <w:t>x</w:t>
      </w:r>
      <w:r>
        <w:t>. Der Aufschlag auf Keurig Dr. Pepper ist aufgrund der stärkeren globalen Marke, höheren internationalen Präsen</w:t>
      </w:r>
      <w:r w:rsidR="00DD4935">
        <w:t>z</w:t>
      </w:r>
      <w:r>
        <w:t xml:space="preserve"> und stabileren Cash-Flow-Qualität nachvollziehbar. </w:t>
      </w:r>
      <w:r w:rsidR="00925018">
        <w:t>Gegenüber PepsiCo gibt es keinen Bewertungsaufschlag, da PepsiCo durch das Snackgeschäft breiter diversifiziert ist.</w:t>
      </w:r>
    </w:p>
    <w:p w14:paraId="49C2A039" w14:textId="6C4A0E69" w:rsidR="007F6F73" w:rsidRDefault="007F6F73" w:rsidP="00A07219">
      <w:pPr>
        <w:pStyle w:val="Listenabsatz"/>
      </w:pPr>
      <w:r>
        <w:t xml:space="preserve"> </w:t>
      </w:r>
    </w:p>
    <w:p w14:paraId="030B15A7" w14:textId="0F604932" w:rsidR="00EB054E" w:rsidRDefault="00EB054E" w:rsidP="00A07219">
      <w:pPr>
        <w:pStyle w:val="Listenabsatz"/>
      </w:pPr>
      <w:r>
        <w:t xml:space="preserve">Ergänzend zum KGV ist EV/EBIT relevant, weil diese Kennzahl </w:t>
      </w:r>
      <w:r w:rsidR="00925018">
        <w:t>den</w:t>
      </w:r>
      <w:r>
        <w:t xml:space="preserve"> </w:t>
      </w:r>
      <w:r w:rsidR="00925018">
        <w:t>Enterprise Value</w:t>
      </w:r>
      <w:r>
        <w:t xml:space="preserve"> </w:t>
      </w:r>
      <w:r w:rsidR="00925018">
        <w:t>ins Verhältnis</w:t>
      </w:r>
      <w:r>
        <w:t xml:space="preserve"> zum operativen Ergebnis setzt. Durch diese Ratio lassen sich Unternehmen mit unterschiedlicher Kapitalstruktur besser vergleichen. Coca-Cola weist eine EV/EBIT Ratio von 23,5</w:t>
      </w:r>
      <w:r w:rsidR="00925018">
        <w:t>x</w:t>
      </w:r>
      <w:r>
        <w:t xml:space="preserve"> aus, was deutlich höher als die von Pepsi</w:t>
      </w:r>
      <w:r w:rsidR="00925018">
        <w:t xml:space="preserve"> mit 16,</w:t>
      </w:r>
      <w:r w:rsidR="005D3D15">
        <w:t>39</w:t>
      </w:r>
      <w:r w:rsidR="00925018">
        <w:t>x</w:t>
      </w:r>
      <w:r>
        <w:t xml:space="preserve"> und Keurig </w:t>
      </w:r>
      <w:r w:rsidR="00DD4935">
        <w:t xml:space="preserve">Dr. </w:t>
      </w:r>
      <w:r>
        <w:t>Pepper</w:t>
      </w:r>
      <w:r w:rsidR="00925018">
        <w:t xml:space="preserve"> mit 18,</w:t>
      </w:r>
      <w:r w:rsidR="005D3D15">
        <w:t>3</w:t>
      </w:r>
      <w:r w:rsidR="00925018">
        <w:t>3x ist</w:t>
      </w:r>
      <w:r>
        <w:t xml:space="preserve">. </w:t>
      </w:r>
      <w:r w:rsidR="00F02D15">
        <w:t xml:space="preserve">Das zeigt, dass der Markt jeden Dollar </w:t>
      </w:r>
      <w:r w:rsidR="006E2053">
        <w:t>operativen Gewinn</w:t>
      </w:r>
      <w:r w:rsidR="00F02D15">
        <w:t xml:space="preserve"> höher bewertet als bei den genannten Vergleichsunternehmen. Grund dafür ist, dass Anleger den Cashflow von Coca-Cola stabiler und risikoärmer einstufen.</w:t>
      </w:r>
    </w:p>
    <w:p w14:paraId="35212302" w14:textId="77777777" w:rsidR="00F02D15" w:rsidRDefault="00F02D15" w:rsidP="00A07219">
      <w:pPr>
        <w:pStyle w:val="Listenabsatz"/>
      </w:pPr>
    </w:p>
    <w:p w14:paraId="68CA8A0A" w14:textId="565745C9" w:rsidR="00EB054E" w:rsidRDefault="00EB054E" w:rsidP="00A07219">
      <w:pPr>
        <w:pStyle w:val="Listenabsatz"/>
      </w:pPr>
      <w:r>
        <w:t xml:space="preserve">Als nächste Kennzahl </w:t>
      </w:r>
      <w:r w:rsidR="005273ED">
        <w:t>wird der FCF-Yield verwendet</w:t>
      </w:r>
      <w:r>
        <w:t xml:space="preserve">, weil es den Free Cashflow </w:t>
      </w:r>
      <w:r w:rsidR="006E2053">
        <w:t>in Bezug zur Marktkapit</w:t>
      </w:r>
      <w:r w:rsidR="00DD4935">
        <w:t>a</w:t>
      </w:r>
      <w:r w:rsidR="006E2053">
        <w:t>lisierung</w:t>
      </w:r>
      <w:r>
        <w:t xml:space="preserve"> stellt. Coca-Cola hat einen FCF Yield von 3,</w:t>
      </w:r>
      <w:r w:rsidR="005D3D15">
        <w:t>72</w:t>
      </w:r>
      <w:r>
        <w:t>%, das etwas geringer als jener von PepsiCo</w:t>
      </w:r>
      <w:r w:rsidR="006E2053">
        <w:t xml:space="preserve"> mit 4,1</w:t>
      </w:r>
      <w:r w:rsidR="005D3D15">
        <w:t>8</w:t>
      </w:r>
      <w:r w:rsidR="006E2053">
        <w:t>%</w:t>
      </w:r>
      <w:r>
        <w:t xml:space="preserve"> und Keurig Dr. Pepper </w:t>
      </w:r>
      <w:r w:rsidR="006E2053">
        <w:t>mit 4,0</w:t>
      </w:r>
      <w:r w:rsidR="005D3D15">
        <w:t>3</w:t>
      </w:r>
      <w:r w:rsidR="006E2053">
        <w:t xml:space="preserve">% </w:t>
      </w:r>
      <w:r>
        <w:t>ist.</w:t>
      </w:r>
      <w:r w:rsidR="006E2053">
        <w:t xml:space="preserve"> Das zeigt, dass der Markt für Pepsi und Keurig Dr. Pepper weniger Dollar für jeden Dollar Free-CashFlow zahlt als bei Coca-Cola.</w:t>
      </w:r>
    </w:p>
    <w:p w14:paraId="2211A51A" w14:textId="77777777" w:rsidR="003C3A97" w:rsidRDefault="003C3A97" w:rsidP="005D3D15"/>
    <w:p w14:paraId="48EBAEF9" w14:textId="47BA2333" w:rsidR="003C3A97" w:rsidRDefault="003C3A97" w:rsidP="00A07219">
      <w:pPr>
        <w:pStyle w:val="Listenabsatz"/>
      </w:pPr>
      <w:r>
        <w:t xml:space="preserve">Die Free-Cashflow-orientierte Bewertung ergibt im Base Case einen fairen Wert von </w:t>
      </w:r>
      <w:r w:rsidR="005D3D15">
        <w:t>ungefähr</w:t>
      </w:r>
      <w:r>
        <w:t xml:space="preserve"> 75 USD je Aktie. Beim aktuellen Kurs von </w:t>
      </w:r>
      <w:r w:rsidR="005D3D15">
        <w:t>78,42</w:t>
      </w:r>
      <w:r>
        <w:t xml:space="preserve"> liegt Coca-Cola etwas darüber. Im Bear Case entspricht der faire Wert des Unternehmens rund 65 USD je Aktie, während im Bull Case der faire Wert bei rund 92 USD anzusetzen ist.</w:t>
      </w:r>
    </w:p>
    <w:p w14:paraId="6012F742" w14:textId="30A4324A" w:rsidR="00DD4935" w:rsidRDefault="00DD4935" w:rsidP="00A07219">
      <w:pPr>
        <w:pStyle w:val="Listenabsatz"/>
      </w:pPr>
      <w:r>
        <w:t xml:space="preserve">Die Multiple-Bewertung </w:t>
      </w:r>
      <w:r w:rsidR="003C3A97">
        <w:t>bestätigt</w:t>
      </w:r>
      <w:r>
        <w:t xml:space="preserve">, dass Coca-Cola im Vergleich zu PepsiCo und Keurig Dr. Pepper mit einem Qualitätsaufschlag gehandelt wird. Dieser Aufschlag ist jedoch teilweise aufgrund der Markenstärke, </w:t>
      </w:r>
      <w:r w:rsidR="003C3A97">
        <w:t xml:space="preserve">der globalen Marktsituation, der </w:t>
      </w:r>
      <w:r>
        <w:t>Cashflow-Stabilität und dem asset-light Modell nachvollziehbar.</w:t>
      </w:r>
      <w:r w:rsidR="003C3A97">
        <w:t xml:space="preserve"> Gleichzeitig wird deutlich, dass die Qualität des Unternehmens bereits</w:t>
      </w:r>
      <w:r w:rsidR="004F4BBE">
        <w:t xml:space="preserve"> wesentlich</w:t>
      </w:r>
      <w:r w:rsidR="003C3A97">
        <w:t xml:space="preserve"> im Aktienkurs berücksichtigt wird.</w:t>
      </w:r>
    </w:p>
    <w:p w14:paraId="0FBA2AAB" w14:textId="77777777" w:rsidR="003C3A97" w:rsidRDefault="003C3A97" w:rsidP="00A07219">
      <w:pPr>
        <w:pStyle w:val="Listenabsatz"/>
      </w:pPr>
    </w:p>
    <w:p w14:paraId="4BBF3B86" w14:textId="5729C0A4" w:rsidR="003C3A97" w:rsidRDefault="003C3A97" w:rsidP="00A07219">
      <w:pPr>
        <w:pStyle w:val="Listenabsatz"/>
      </w:pPr>
      <w:r>
        <w:lastRenderedPageBreak/>
        <w:t xml:space="preserve">Insgesamt scheint mir Coca-Cola leicht überbewertet. Eine klare Unterbewertung ergibt sich ausschließlich im Bull Case. Für langfristige, defensive Investoren bleibt Coca-Cola interessant, jedoch scheint ein Einstieg bei einem Kurs von </w:t>
      </w:r>
      <w:r w:rsidR="005D3D15">
        <w:t>70-72</w:t>
      </w:r>
      <w:r>
        <w:t xml:space="preserve"> USD als attraktiver.</w:t>
      </w:r>
    </w:p>
    <w:p w14:paraId="0FEA30AC" w14:textId="77777777" w:rsidR="00A43924" w:rsidRDefault="00A43924" w:rsidP="00A07219">
      <w:pPr>
        <w:pStyle w:val="Listenabsatz"/>
      </w:pPr>
    </w:p>
    <w:p w14:paraId="3C722435" w14:textId="13EDE573" w:rsidR="00B51E76" w:rsidRDefault="00A43924" w:rsidP="00A43924">
      <w:pPr>
        <w:pStyle w:val="Listenabsatz"/>
      </w:pPr>
      <w:r>
        <w:t>Die Bewertung ist stark von getroffenen Annahmen abhängig. Besonders der gewählte Diskontsatz, der Terminal Growth sowie die Entwicklung des Fre-Cashflows haben einen großen Einfluss auf den errechneten fairen Wert. Die Ergebnisse sind also nicht als exakte Zielwerte, sondern als Richtwerte zu verstehen.</w:t>
      </w:r>
    </w:p>
    <w:p w14:paraId="76D27BF4" w14:textId="77777777" w:rsidR="00A43924" w:rsidRDefault="00A43924" w:rsidP="00A43924">
      <w:pPr>
        <w:pStyle w:val="Listenabsatz"/>
      </w:pPr>
    </w:p>
    <w:p w14:paraId="256EBBB2" w14:textId="7A94330E" w:rsidR="00DE17F9" w:rsidRDefault="00E53349" w:rsidP="00A4785E">
      <w:pPr>
        <w:pStyle w:val="Listenabsatz"/>
        <w:numPr>
          <w:ilvl w:val="0"/>
          <w:numId w:val="1"/>
        </w:numPr>
      </w:pPr>
      <w:r>
        <w:t>Anlagerisiken (</w:t>
      </w:r>
      <w:r w:rsidR="00DE17F9">
        <w:t>Investment</w:t>
      </w:r>
      <w:r w:rsidR="00DC2EE5">
        <w:t xml:space="preserve"> </w:t>
      </w:r>
      <w:r w:rsidR="00DE17F9">
        <w:t>Risk</w:t>
      </w:r>
      <w:r w:rsidR="00DC2EE5">
        <w:t>s</w:t>
      </w:r>
      <w:r>
        <w:t>)</w:t>
      </w:r>
    </w:p>
    <w:p w14:paraId="42BAC896" w14:textId="77777777" w:rsidR="00841F83" w:rsidRDefault="00841F83" w:rsidP="00841F83">
      <w:pPr>
        <w:pStyle w:val="Listenabsatz"/>
      </w:pPr>
    </w:p>
    <w:p w14:paraId="25C23F5A" w14:textId="1E13B5B6" w:rsidR="008827C4" w:rsidRDefault="008827C4" w:rsidP="008827C4">
      <w:pPr>
        <w:pStyle w:val="Listenabsatz"/>
      </w:pPr>
      <w:r>
        <w:t xml:space="preserve">Das erste Risiko knüpft direkt an die Bewertung </w:t>
      </w:r>
      <w:r w:rsidR="00841F83">
        <w:t>des Punkts</w:t>
      </w:r>
      <w:r>
        <w:t xml:space="preserve"> 5. Das Unternehmen wird mit einem deutlichen Qualitätsaufschlag behandelt und deswegen ist die Sicherheitsmarge begrenzt. Wenn das Wachstum oder die Entwicklung der Margen schwächer als erwartet ausfallen, dann könnte der Kurs einen deutlichen Rücksetzer machen. Weil die Erwartungen </w:t>
      </w:r>
      <w:r w:rsidR="00841F83">
        <w:t xml:space="preserve">so </w:t>
      </w:r>
      <w:r>
        <w:t>hoch sind, könnte bereits eine normale Entwicklung zu einem kleinen Kursrückgang führen.</w:t>
      </w:r>
    </w:p>
    <w:p w14:paraId="1E7F5676" w14:textId="77777777" w:rsidR="00841F83" w:rsidRDefault="00841F83" w:rsidP="008827C4">
      <w:pPr>
        <w:pStyle w:val="Listenabsatz"/>
      </w:pPr>
    </w:p>
    <w:p w14:paraId="1084008C" w14:textId="0DC12C3D" w:rsidR="008827C4" w:rsidRDefault="008827C4" w:rsidP="008827C4">
      <w:pPr>
        <w:pStyle w:val="Listenabsatz"/>
      </w:pPr>
      <w:r>
        <w:t>Ein weiteres Ris</w:t>
      </w:r>
      <w:r w:rsidR="000501C4">
        <w:t>i</w:t>
      </w:r>
      <w:r>
        <w:t xml:space="preserve">ko liegt im zukünftigen Volumen bzw. in der Preisentwicklung. Coca-Cola hat in den letzten Jahren einen erheblichen Teil des Wachstums über Price/Mix erzielt. Die Preissetzungsmacht ist zwar ein großer Vorteil, aber auch diese hat seine Grenzen. Wenn Konsumenten aufgrund schwächerer Kaufkraft weniger Produkte kaufen und günstigere Alternativen wechseln, dann wird das Wachstum stark beeinflusst. </w:t>
      </w:r>
    </w:p>
    <w:p w14:paraId="163F209C" w14:textId="77777777" w:rsidR="00841F83" w:rsidRDefault="00841F83" w:rsidP="008827C4">
      <w:pPr>
        <w:pStyle w:val="Listenabsatz"/>
      </w:pPr>
    </w:p>
    <w:p w14:paraId="0A0A6516" w14:textId="14E9E403" w:rsidR="008827C4" w:rsidRDefault="008827C4" w:rsidP="008827C4">
      <w:pPr>
        <w:pStyle w:val="Listenabsatz"/>
      </w:pPr>
      <w:r>
        <w:t xml:space="preserve">In den Geschäftsberichten nennt Coca-Cola ausdrücklich Risiken durch höhere Steuern auf Zucker und somit auf ihre Produkte. Das Unternehmen kann dieses Risiko durch Produkterweiterungen mit Zero-Getränken, Wasser, Kaffee (..) eindämmen, jedoch bleiben gesüßte kohlensäurehaltige Getränke </w:t>
      </w:r>
      <w:r w:rsidR="009746EB">
        <w:t>die wichtigsten Produkte</w:t>
      </w:r>
      <w:r>
        <w:t xml:space="preserve">. Höhere Steuern oder Einschränkungen in Werbung </w:t>
      </w:r>
      <w:r w:rsidR="00841F83">
        <w:t xml:space="preserve">oder </w:t>
      </w:r>
      <w:r>
        <w:t>strengere Kennzeichenvorschriften könnten den Absatz schwächen und als Reaktion auch den Kurs zum Fallen bringen.</w:t>
      </w:r>
    </w:p>
    <w:p w14:paraId="19DB4373" w14:textId="77777777" w:rsidR="00841F83" w:rsidRDefault="00841F83" w:rsidP="008827C4">
      <w:pPr>
        <w:pStyle w:val="Listenabsatz"/>
      </w:pPr>
    </w:p>
    <w:p w14:paraId="1F2DC7F1" w14:textId="1926F91F" w:rsidR="008266F6" w:rsidRDefault="008266F6" w:rsidP="008827C4">
      <w:pPr>
        <w:pStyle w:val="Listenabsatz"/>
      </w:pPr>
      <w:r>
        <w:t>Hinzu kommt, dass Coca-Cola dem Wechselkursrisiko ausgesetzt ist. Ein starker US-Dollar kann ausländische Umsätze und Gewinne bei der Umrechnung belasten, während ein schwacher USD im Vergleich zu der jeweiligen Währung in welchem Konsumenten das Produkt kaufen, dazu führt, dass der ausgewiesene Umsatz höher ist. Besonders relevant ist dies in Schwellenländern, da in der Regel lokale Währung</w:t>
      </w:r>
      <w:r w:rsidR="00D77989">
        <w:t>en</w:t>
      </w:r>
      <w:r>
        <w:t xml:space="preserve"> stärker und unvorhersehbarer schwanken können</w:t>
      </w:r>
      <w:r w:rsidR="00D77989">
        <w:t>.</w:t>
      </w:r>
    </w:p>
    <w:p w14:paraId="0C0B0AFF" w14:textId="1E8DE587" w:rsidR="00F24A9D" w:rsidRDefault="00A26781" w:rsidP="008827C4">
      <w:pPr>
        <w:pStyle w:val="Listenabsatz"/>
      </w:pPr>
      <w:r>
        <w:lastRenderedPageBreak/>
        <w:t xml:space="preserve">Ein weiteres Risiko liegt im </w:t>
      </w:r>
      <w:r w:rsidR="00841F83">
        <w:t>Distribution</w:t>
      </w:r>
      <w:r w:rsidR="00F24A9D">
        <w:t>sn</w:t>
      </w:r>
      <w:r w:rsidR="00841F83">
        <w:t>etzwerk</w:t>
      </w:r>
      <w:r>
        <w:t xml:space="preserve">. Coca-Cola profitiert zwar von dem asset-light Modell, ist </w:t>
      </w:r>
      <w:r w:rsidR="00133DA6">
        <w:t>dadurch abe</w:t>
      </w:r>
      <w:r>
        <w:t>r auf leistungsfähige Abfüll- und Vertriebspartner angewiesen.</w:t>
      </w:r>
      <w:r w:rsidR="00F24A9D">
        <w:br w:type="page"/>
      </w:r>
    </w:p>
    <w:p w14:paraId="5C7E6B9A" w14:textId="25F49A58" w:rsidR="00A26781" w:rsidRDefault="00F24A9D" w:rsidP="00F24A9D">
      <w:pPr>
        <w:ind w:left="720"/>
        <w:jc w:val="center"/>
        <w:rPr>
          <w:sz w:val="32"/>
          <w:szCs w:val="32"/>
        </w:rPr>
      </w:pPr>
      <w:r w:rsidRPr="00F24A9D">
        <w:rPr>
          <w:sz w:val="32"/>
          <w:szCs w:val="32"/>
        </w:rPr>
        <w:lastRenderedPageBreak/>
        <w:t>Quellenverzeichnis:</w:t>
      </w:r>
    </w:p>
    <w:p w14:paraId="6FC8B8A2" w14:textId="6908FED5" w:rsidR="009D2D38" w:rsidRPr="009D2D38" w:rsidRDefault="009D2D38" w:rsidP="009D2D38">
      <w:pPr>
        <w:ind w:left="720"/>
      </w:pPr>
      <w:r w:rsidRPr="009D2D38">
        <w:t>Coca-Cola (10-K 2025): Bilanz, Schulden, Rückkäufe, Risikoangaben</w:t>
      </w:r>
    </w:p>
    <w:p w14:paraId="428A3733" w14:textId="39E66A77" w:rsidR="009D2D38" w:rsidRPr="009D2D38" w:rsidRDefault="009D2D38" w:rsidP="009D2D38">
      <w:pPr>
        <w:ind w:left="720"/>
      </w:pPr>
      <w:r w:rsidRPr="009D2D38">
        <w:t>Coca-Cola (Q1 2026 10-Q): für aktuelle TTM-Zahlen</w:t>
      </w:r>
    </w:p>
    <w:p w14:paraId="2B20D3CD" w14:textId="0C83CDFE" w:rsidR="009D2D38" w:rsidRPr="009D2D38" w:rsidRDefault="009D2D38" w:rsidP="009D2D38">
      <w:pPr>
        <w:ind w:left="720"/>
      </w:pPr>
      <w:r w:rsidRPr="009D2D38">
        <w:t xml:space="preserve">Datenanbieter: </w:t>
      </w:r>
      <w:r>
        <w:t>Stock</w:t>
      </w:r>
      <w:r w:rsidRPr="009D2D38">
        <w:t xml:space="preserve"> Analys</w:t>
      </w:r>
      <w:r>
        <w:t>is (</w:t>
      </w:r>
      <w:r w:rsidRPr="009D2D38">
        <w:t>https://stockanalysis.com/</w:t>
      </w:r>
      <w:r>
        <w:t>)</w:t>
      </w:r>
      <w:r w:rsidRPr="009D2D38">
        <w:t>: für KGV, EV/EBIT, FCF-Yield, Markt</w:t>
      </w:r>
      <w:r w:rsidR="00D77989">
        <w:t>k</w:t>
      </w:r>
      <w:r w:rsidRPr="009D2D38">
        <w:t>apitalis</w:t>
      </w:r>
      <w:r w:rsidR="00D77989">
        <w:t>ierung</w:t>
      </w:r>
      <w:r w:rsidRPr="009D2D38">
        <w:t>, Peer-Multiples</w:t>
      </w:r>
    </w:p>
    <w:p w14:paraId="2B304732" w14:textId="77777777" w:rsidR="009D2D38" w:rsidRPr="00F24A9D" w:rsidRDefault="009D2D38" w:rsidP="009D2D38">
      <w:pPr>
        <w:ind w:left="720"/>
        <w:rPr>
          <w:sz w:val="32"/>
          <w:szCs w:val="32"/>
        </w:rPr>
      </w:pPr>
    </w:p>
    <w:sectPr w:rsidR="009D2D38" w:rsidRPr="00F24A9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50F16"/>
    <w:multiLevelType w:val="hybridMultilevel"/>
    <w:tmpl w:val="17BE2DC2"/>
    <w:lvl w:ilvl="0" w:tplc="0C07000F">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54AA45CF"/>
    <w:multiLevelType w:val="hybridMultilevel"/>
    <w:tmpl w:val="B2C4A630"/>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num w:numId="1" w16cid:durableId="611980787">
    <w:abstractNumId w:val="0"/>
  </w:num>
  <w:num w:numId="2" w16cid:durableId="1000236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5E"/>
    <w:rsid w:val="00027E04"/>
    <w:rsid w:val="0003053F"/>
    <w:rsid w:val="00030FD3"/>
    <w:rsid w:val="000336EE"/>
    <w:rsid w:val="000501C4"/>
    <w:rsid w:val="00082EEB"/>
    <w:rsid w:val="000C40B8"/>
    <w:rsid w:val="00106A2E"/>
    <w:rsid w:val="001270C6"/>
    <w:rsid w:val="00132D83"/>
    <w:rsid w:val="00133DA6"/>
    <w:rsid w:val="00141BE3"/>
    <w:rsid w:val="0015064C"/>
    <w:rsid w:val="00151A8B"/>
    <w:rsid w:val="00183BF6"/>
    <w:rsid w:val="00193BFD"/>
    <w:rsid w:val="001B237B"/>
    <w:rsid w:val="001B32BB"/>
    <w:rsid w:val="00227995"/>
    <w:rsid w:val="00236844"/>
    <w:rsid w:val="00250026"/>
    <w:rsid w:val="00262E3D"/>
    <w:rsid w:val="00265FAF"/>
    <w:rsid w:val="00266633"/>
    <w:rsid w:val="002D2148"/>
    <w:rsid w:val="002D7349"/>
    <w:rsid w:val="00300B3B"/>
    <w:rsid w:val="00300CB3"/>
    <w:rsid w:val="0031456B"/>
    <w:rsid w:val="0034197C"/>
    <w:rsid w:val="00366C31"/>
    <w:rsid w:val="003C3A97"/>
    <w:rsid w:val="003C4C4B"/>
    <w:rsid w:val="003F70DF"/>
    <w:rsid w:val="004041BD"/>
    <w:rsid w:val="004219C4"/>
    <w:rsid w:val="00453F53"/>
    <w:rsid w:val="00485EE7"/>
    <w:rsid w:val="004912F3"/>
    <w:rsid w:val="004940F5"/>
    <w:rsid w:val="00494ACC"/>
    <w:rsid w:val="004B0D7D"/>
    <w:rsid w:val="004F4BBE"/>
    <w:rsid w:val="005273ED"/>
    <w:rsid w:val="00532CE9"/>
    <w:rsid w:val="00565A37"/>
    <w:rsid w:val="005D2163"/>
    <w:rsid w:val="005D3D15"/>
    <w:rsid w:val="005D4807"/>
    <w:rsid w:val="005E0E92"/>
    <w:rsid w:val="00664BDE"/>
    <w:rsid w:val="006907B1"/>
    <w:rsid w:val="006A1053"/>
    <w:rsid w:val="006C1F6A"/>
    <w:rsid w:val="006E2053"/>
    <w:rsid w:val="00724D1E"/>
    <w:rsid w:val="007A5291"/>
    <w:rsid w:val="007A647B"/>
    <w:rsid w:val="007A6FAF"/>
    <w:rsid w:val="007B2A3B"/>
    <w:rsid w:val="007F6F73"/>
    <w:rsid w:val="0082147D"/>
    <w:rsid w:val="00826275"/>
    <w:rsid w:val="008266F6"/>
    <w:rsid w:val="00841F83"/>
    <w:rsid w:val="00853DEA"/>
    <w:rsid w:val="008558FB"/>
    <w:rsid w:val="008827C4"/>
    <w:rsid w:val="00890B41"/>
    <w:rsid w:val="00896D58"/>
    <w:rsid w:val="008A3E1A"/>
    <w:rsid w:val="008F20EF"/>
    <w:rsid w:val="009104CA"/>
    <w:rsid w:val="00925018"/>
    <w:rsid w:val="00951C1D"/>
    <w:rsid w:val="009746EB"/>
    <w:rsid w:val="009755D4"/>
    <w:rsid w:val="00977B9B"/>
    <w:rsid w:val="00994DD9"/>
    <w:rsid w:val="009D2D38"/>
    <w:rsid w:val="00A07219"/>
    <w:rsid w:val="00A26781"/>
    <w:rsid w:val="00A43924"/>
    <w:rsid w:val="00A4785E"/>
    <w:rsid w:val="00AB0C71"/>
    <w:rsid w:val="00AB39DC"/>
    <w:rsid w:val="00AC7C0C"/>
    <w:rsid w:val="00AF71EB"/>
    <w:rsid w:val="00B51E76"/>
    <w:rsid w:val="00B51EBB"/>
    <w:rsid w:val="00B5619E"/>
    <w:rsid w:val="00B62028"/>
    <w:rsid w:val="00B923E7"/>
    <w:rsid w:val="00BE3912"/>
    <w:rsid w:val="00C50CB0"/>
    <w:rsid w:val="00C51BEF"/>
    <w:rsid w:val="00C95D71"/>
    <w:rsid w:val="00CC5018"/>
    <w:rsid w:val="00CF7849"/>
    <w:rsid w:val="00D049B2"/>
    <w:rsid w:val="00D23125"/>
    <w:rsid w:val="00D77989"/>
    <w:rsid w:val="00D86F1F"/>
    <w:rsid w:val="00D94D6C"/>
    <w:rsid w:val="00DA6AC9"/>
    <w:rsid w:val="00DC2EE5"/>
    <w:rsid w:val="00DC551B"/>
    <w:rsid w:val="00DD4935"/>
    <w:rsid w:val="00DD4BC7"/>
    <w:rsid w:val="00DE17F9"/>
    <w:rsid w:val="00E04DC3"/>
    <w:rsid w:val="00E24260"/>
    <w:rsid w:val="00E53349"/>
    <w:rsid w:val="00E61998"/>
    <w:rsid w:val="00E90F48"/>
    <w:rsid w:val="00EB054E"/>
    <w:rsid w:val="00EB520D"/>
    <w:rsid w:val="00ED516B"/>
    <w:rsid w:val="00EF74C9"/>
    <w:rsid w:val="00F02D15"/>
    <w:rsid w:val="00F03AD2"/>
    <w:rsid w:val="00F043F2"/>
    <w:rsid w:val="00F04529"/>
    <w:rsid w:val="00F24A9D"/>
    <w:rsid w:val="00F62C65"/>
    <w:rsid w:val="00F6614F"/>
    <w:rsid w:val="00F71CA6"/>
    <w:rsid w:val="00F910B9"/>
    <w:rsid w:val="00FC3CDA"/>
    <w:rsid w:val="00FD505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8819"/>
  <w15:chartTrackingRefBased/>
  <w15:docId w15:val="{825BCFC9-97A3-4775-8217-3BF035106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47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47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478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478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478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478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478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478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478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78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478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478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478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478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478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478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478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4785E"/>
    <w:rPr>
      <w:rFonts w:eastAsiaTheme="majorEastAsia" w:cstheme="majorBidi"/>
      <w:color w:val="272727" w:themeColor="text1" w:themeTint="D8"/>
    </w:rPr>
  </w:style>
  <w:style w:type="paragraph" w:styleId="Titel">
    <w:name w:val="Title"/>
    <w:basedOn w:val="Standard"/>
    <w:next w:val="Standard"/>
    <w:link w:val="TitelZchn"/>
    <w:uiPriority w:val="10"/>
    <w:qFormat/>
    <w:rsid w:val="00A47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478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478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478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478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4785E"/>
    <w:rPr>
      <w:i/>
      <w:iCs/>
      <w:color w:val="404040" w:themeColor="text1" w:themeTint="BF"/>
    </w:rPr>
  </w:style>
  <w:style w:type="paragraph" w:styleId="Listenabsatz">
    <w:name w:val="List Paragraph"/>
    <w:basedOn w:val="Standard"/>
    <w:uiPriority w:val="34"/>
    <w:qFormat/>
    <w:rsid w:val="00A4785E"/>
    <w:pPr>
      <w:ind w:left="720"/>
      <w:contextualSpacing/>
    </w:pPr>
  </w:style>
  <w:style w:type="character" w:styleId="IntensiveHervorhebung">
    <w:name w:val="Intense Emphasis"/>
    <w:basedOn w:val="Absatz-Standardschriftart"/>
    <w:uiPriority w:val="21"/>
    <w:qFormat/>
    <w:rsid w:val="00A4785E"/>
    <w:rPr>
      <w:i/>
      <w:iCs/>
      <w:color w:val="0F4761" w:themeColor="accent1" w:themeShade="BF"/>
    </w:rPr>
  </w:style>
  <w:style w:type="paragraph" w:styleId="IntensivesZitat">
    <w:name w:val="Intense Quote"/>
    <w:basedOn w:val="Standard"/>
    <w:next w:val="Standard"/>
    <w:link w:val="IntensivesZitatZchn"/>
    <w:uiPriority w:val="30"/>
    <w:qFormat/>
    <w:rsid w:val="00A47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4785E"/>
    <w:rPr>
      <w:i/>
      <w:iCs/>
      <w:color w:val="0F4761" w:themeColor="accent1" w:themeShade="BF"/>
    </w:rPr>
  </w:style>
  <w:style w:type="character" w:styleId="IntensiverVerweis">
    <w:name w:val="Intense Reference"/>
    <w:basedOn w:val="Absatz-Standardschriftart"/>
    <w:uiPriority w:val="32"/>
    <w:qFormat/>
    <w:rsid w:val="00A4785E"/>
    <w:rPr>
      <w:b/>
      <w:bCs/>
      <w:smallCaps/>
      <w:color w:val="0F4761" w:themeColor="accent1" w:themeShade="BF"/>
      <w:spacing w:val="5"/>
    </w:rPr>
  </w:style>
  <w:style w:type="table" w:styleId="Tabellenraster">
    <w:name w:val="Table Grid"/>
    <w:basedOn w:val="NormaleTabelle"/>
    <w:uiPriority w:val="39"/>
    <w:rsid w:val="00AB3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353F9-1D63-4E6F-94FE-7DFDC35B0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2378</Words>
  <Characters>14983</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Müller, Alexander Michael</dc:creator>
  <cp:keywords/>
  <dc:description/>
  <cp:lastModifiedBy>Müller, Alexander Michael</cp:lastModifiedBy>
  <cp:revision>17</cp:revision>
  <dcterms:created xsi:type="dcterms:W3CDTF">2025-11-29T09:03:00Z</dcterms:created>
  <dcterms:modified xsi:type="dcterms:W3CDTF">2026-05-11T08:46:00Z</dcterms:modified>
</cp:coreProperties>
</file>