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Подтверждение соглашения</w:t>
        <w:br/>
        <w:t>при первом входе сотрудника</w:t>
      </w:r>
    </w:p>
    <w:p>
      <w:pPr>
        <w:pStyle w:val="Subtitle"/>
      </w:pPr>
      <w:r>
        <w:t>Проект для согласования от 30 октября 2026 года</w:t>
      </w:r>
    </w:p>
    <w:p>
      <w:r>
        <w:t>Предложение для ООО «Югмонтажстрой», ИНН 6151021652. Пользователи — сотрудники по трудовым договорам. Это описание будущей функции для согласования; изменения приложения ещё не выполнялись.</w:t>
      </w:r>
    </w:p>
    <w:p>
      <w:pPr>
        <w:pStyle w:val="Heading1"/>
      </w:pPr>
      <w:r>
        <w:t>Рекомендуемый порядок</w:t>
      </w:r>
    </w:p>
    <w:p>
      <w:r>
        <w:t>Сначала утвердить текст и юридический способ подписания. Для первого этапа рекомендую подписанный бумажный оригинал соглашения, его скан в системе и подтверждение ознакомления при первом входе. Если нужен полностью электронный процесс, использовать установленный кадровый электронный документооборот и подходящую электронную подпись. Строить собственный кадровый ЭДО ради одной галочки не предлагается.</w:t>
      </w:r>
    </w:p>
    <w:p>
      <w:r>
        <w:t>Простая электронная подпись может применяться только при выполнении правовых условий, а не автоматически из-за кода на почту. Для кадровых документов важны статьи 22.2–22.3 ТК РФ: порядок введения ЭДО, согласие работника в необходимых случаях и допустимый вид подписи. Если документ квалифицирован как изменение трудового договора, простая подпись работника для такого изменения не подходит. Квалификацию соглашения и способ подписания должен подтвердить юрист.</w:t>
      </w:r>
    </w:p>
    <w:p>
      <w:pPr>
        <w:pStyle w:val="Heading1"/>
      </w:pPr>
      <w:r>
        <w:t>Экран первого входа</w:t>
      </w:r>
    </w:p>
    <w:p>
      <w:r>
        <w:t>1. Администратор создаёт аккаунт и указывает проверенные ФИО сотрудника. ФИО на экране соглашения недоступны для самостоятельного изменения. В существующем профиле свободное редактирование ФИО потребуется заменить администраторским порядком либо хранить отдельные подтверждённые ФИО для юридических документов.</w:t>
      </w:r>
    </w:p>
    <w:p>
      <w:r>
        <w:t>2. После активации и входа сотрудник видит персональный полный текст с ФИО, работодателем и версией документа, ссылку на скачивание и доступ к документам, на которые соглашение ссылается. Предустановленной галочки нет. При ошибке можно обратиться к администратору или выйти.</w:t>
      </w:r>
    </w:p>
    <w:p>
      <w:r>
        <w:t>3. Предлагаемый текст галочки: «Я, [ФИО], ознакомился(лась) с полным текстом соглашения версии [версия] и указанными документами, получил(а) возможность сохранить их копии». В бумажном варианте кнопка называется «Подтвердить ознакомление». В юридически оформленном электронном варианте используется отдельное действие подписания.</w:t>
      </w:r>
    </w:p>
    <w:p>
      <w:r>
        <w:t>4. Рабочие разделы открываются после фиксации подтверждения и выполнения выбранного порядка подписания. В бумажном варианте нужен подтверждённый администратором подписанный оригинал; в электронном — успешная проверка подписи. До этого сервер также закрывает рабочие API, файлы и выгрузки, сохраняя доступ к соглашению, помощи и выходу.</w:t>
      </w:r>
    </w:p>
    <w:p>
      <w:r>
        <w:t>5. Проверка проводится один раз для нового аккаунта. Повторные входы и смена пароля её не повторяют. Новый аккаунт на прежнюю почту проходит процедуру заново; документы прежнего аккаунта сохраняются отдельно. Повторное подтверждение при новой редакции соглашения — отдельное будущее решение.</w:t>
      </w:r>
    </w:p>
    <w:p>
      <w:pPr>
        <w:pStyle w:val="Heading1"/>
        <w:pageBreakBefore/>
      </w:pPr>
      <w:r>
        <w:t>Документ и доказательства для юристов</w:t>
      </w:r>
    </w:p>
    <w:p>
      <w:r>
        <w:t>Для каждого сотрудника сохраняется персональный экземпляр именно той редакции, которую ему показали: ФИО на момент подтверждения, сведения о работодателе, постоянный ID аккаунта, адрес входа, версия и полный текст, дата и время, способ подтверждения, ссылка на подписанный оригинал или электронную подпись и результат её проверки. При законном основании дополнительно сохраняются технические данные сеанса, необходимые для проверки события.</w:t>
      </w:r>
    </w:p>
    <w:p>
      <w:r>
        <w:t>Формат выдачи: Word для работы юриста, PDF для удобного просмотра и печати, отдельная запись о подтверждении. Юридическим оригиналом остаётся подписанный бумажный документ либо исходный электронный документ вместе с подписью. При использовании электронной подписи сохраняются её исходные файлы и проверочные данные; один Word или PDF без них не заменяет электронный оригинал.</w:t>
      </w:r>
    </w:p>
    <w:p>
      <w:r>
        <w:t>Документ не пересобирается из текущего профиля при каждом скачивании. Изменение ФИО, прав или удаление пользователя не переписывает прежние подтверждения. Ошибку исправляют новой документированной записью с сохранением исходной. Хеш помогает обнаружить изменение файла, но сам по себе не доказывает личность подписанта и время подписания. Нужны защищённое хранение, резервные копии и журнал операций с доказательствами.</w:t>
      </w:r>
    </w:p>
    <w:p>
      <w:pPr>
        <w:pStyle w:val="Heading1"/>
      </w:pPr>
      <w:r>
        <w:t>Что согласовать перед реализацией</w:t>
      </w:r>
    </w:p>
    <w:p>
      <w:r>
        <w:t>Заполнить ОГРН, юридический адрес, представителя и его полномочия, домен системы, ответственного за сообщения об утечке. Установить принадлежность прав на программу и материалы. Проверить наличие перечня коммерческой тайны, положения о её режиме и ознакомления сотрудников. Соглашение само по себе эти меры не вводит.</w:t>
      </w:r>
    </w:p>
    <w:p>
      <w:r>
        <w:t>Выбрать бумажное подписание или действующий кадровый ЭДО. Если ЭДО уже введён, сообщить название системы, используемые подписи и перечень кадровых документов. Предусмотреть законную бумажную процедуру для сотрудников, когда она требуется. Отказ от ЭДО сам по себе не является основанием для увольнения.</w:t>
      </w:r>
    </w:p>
    <w:p>
      <w:r>
        <w:t>Определить сроки хранения соглашений и технических доказательств, круг доступа и основание обработки персональных данных. Не включать согласие на обработку персональных данных в общий текст NDA: при необходимости оно оформляется отдельно. Нынешние пользователи не должны автоматически попадать под новое требование без отдельного решения.</w:t>
      </w:r>
    </w:p>
    <w:p>
      <w:pPr>
        <w:pStyle w:val="Heading1"/>
      </w:pPr>
      <w:r>
        <w:t>Правовая основа проекта</w:t>
      </w:r>
    </w:p>
    <w:p>
      <w:pPr>
        <w:spacing w:after="80"/>
      </w:pPr>
      <w:hyperlink r:id="rId11">
        <w:r>
          <w:rPr>
            <w:color w:val="000000"/>
            <w:u w:val="single"/>
            <w:sz w:val="21"/>
          </w:rPr>
          <w:t>ГК РФ статья 160 — письменная форма и установление лица</w:t>
        </w:r>
      </w:hyperlink>
    </w:p>
    <w:p>
      <w:pPr>
        <w:spacing w:after="80"/>
      </w:pPr>
      <w:hyperlink r:id="rId12">
        <w:r>
          <w:rPr>
            <w:color w:val="000000"/>
            <w:u w:val="single"/>
            <w:sz w:val="21"/>
          </w:rPr>
          <w:t>Закон № 63-ФЗ статьи 6 и 9 — юридическое значение электронной подписи</w:t>
        </w:r>
      </w:hyperlink>
    </w:p>
    <w:p>
      <w:pPr>
        <w:spacing w:after="80"/>
      </w:pPr>
      <w:hyperlink r:id="rId13">
        <w:r>
          <w:rPr>
            <w:color w:val="000000"/>
            <w:u w:val="single"/>
            <w:sz w:val="21"/>
          </w:rPr>
          <w:t>ТК РФ статьи 22.2 и 22.3 — кадровый электронный документооборот</w:t>
        </w:r>
      </w:hyperlink>
    </w:p>
    <w:p>
      <w:pPr>
        <w:spacing w:after="80"/>
      </w:pPr>
      <w:hyperlink r:id="rId14">
        <w:r>
          <w:rPr>
            <w:color w:val="000000"/>
            <w:u w:val="single"/>
            <w:sz w:val="21"/>
          </w:rPr>
          <w:t>Закон № 98-ФЗ статьи 5, 10 и 11 — коммерческая тайна и работники</w:t>
        </w:r>
      </w:hyperlink>
    </w:p>
    <w:p>
      <w:pPr>
        <w:spacing w:after="80"/>
      </w:pPr>
      <w:hyperlink r:id="rId15">
        <w:r>
          <w:rPr>
            <w:color w:val="000000"/>
            <w:u w:val="single"/>
            <w:sz w:val="21"/>
          </w:rPr>
          <w:t>ГК РФ статья 1295 — права на служебные произведения</w:t>
        </w:r>
      </w:hyperlink>
    </w:p>
    <w:p>
      <w:pPr>
        <w:spacing w:after="80"/>
      </w:pPr>
      <w:hyperlink r:id="rId16">
        <w:r>
          <w:rPr>
            <w:color w:val="000000"/>
            <w:u w:val="single"/>
            <w:sz w:val="21"/>
          </w:rPr>
          <w:t>ТК РФ статья 238 — пределы материальной ответственности работника</w:t>
        </w:r>
      </w:hyperlink>
    </w:p>
    <w:p>
      <w:pPr>
        <w:spacing w:after="80"/>
      </w:pPr>
      <w:hyperlink r:id="rId17">
        <w:r>
          <w:rPr>
            <w:color w:val="000000"/>
            <w:u w:val="single"/>
            <w:sz w:val="21"/>
          </w:rPr>
          <w:t>Закон № 152-ФЗ статья 9 — отдельное оформление согласия</w:t>
        </w:r>
      </w:hyperlink>
    </w:p>
    <w:p>
      <w:r>
        <w:t>Проверено по доступным текстам норм на 30 октября 2026 года. Проект требует проверки юристом с учётом фактических документов работодателя и выбранного способа подписания. Гарантия принятия доказательств судом не даётся.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80" w:right="1224" w:bottom="1080" w:left="1224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8"/>
      </w:rPr>
      <w:t xml:space="preserve">Проект для согласования   ·   Страница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sz w:val="18"/>
      </w:rPr>
      <w:t>ООО «Югмонтажстрой»   ИНН 6151021652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80" w:line="240" w:lineRule="auto"/>
    </w:pPr>
    <w:rPr>
      <w:rFonts w:ascii="Times New Roman" w:hAnsi="Times New Roman" w:eastAsia="Times New Roman"/>
      <w:color w:val="000000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20" w:after="100"/>
      <w:outlineLvl w:val="0"/>
    </w:pPr>
    <w:rPr>
      <w:rFonts w:ascii="Times New Roman" w:hAnsi="Times New Roman" w:eastAsia="Times New Roman"/>
      <w:b/>
      <w:bCs/>
      <w:color w:val="000000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00"/>
      <w:outlineLvl w:val="1"/>
    </w:pPr>
    <w:rPr>
      <w:rFonts w:ascii="Times New Roman" w:hAnsi="Times New Roman" w:eastAsia="Times New Roman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60" w:line="240" w:lineRule="auto"/>
      <w:contextualSpacing/>
    </w:pPr>
    <w:rPr>
      <w:rFonts w:ascii="Times New Roman" w:hAnsi="Times New Roman" w:eastAsia="Times New Roman"/>
      <w:b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200"/>
    </w:pPr>
    <w:rPr>
      <w:rFonts w:ascii="Times New Roman" w:hAnsi="Times New Roman" w:eastAsia="Times New Roman"/>
      <w:i/>
      <w:iCs/>
      <w:color w:val="000000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www.consultant.ru/document/cons_doc_LAW_5142/95f9ba225766dcfec8461f257ed0b179d032c5b7/" TargetMode="External"/><Relationship Id="rId12" Type="http://schemas.openxmlformats.org/officeDocument/2006/relationships/hyperlink" Target="https://www.consultant.ru/document/cons_doc_LAW_112701/1d9a7d8c65fe414edd67ecae8acfa41bdbe52ba1/" TargetMode="External"/><Relationship Id="rId13" Type="http://schemas.openxmlformats.org/officeDocument/2006/relationships/hyperlink" Target="https://www.consultant.ru/document/cons_doc_LAW_34683/00a8ce6ce116fc26361a0c9a23eebf37074acf6e/" TargetMode="External"/><Relationship Id="rId14" Type="http://schemas.openxmlformats.org/officeDocument/2006/relationships/hyperlink" Target="https://www.consultant.ru/document/cons_doc_LAW_48699/" TargetMode="External"/><Relationship Id="rId15" Type="http://schemas.openxmlformats.org/officeDocument/2006/relationships/hyperlink" Target="https://www.consultant.ru/document/cons_doc_LAW_64629/b131343c6f094841b1ed8c5e6db72a390ea3e11c/" TargetMode="External"/><Relationship Id="rId16" Type="http://schemas.openxmlformats.org/officeDocument/2006/relationships/hyperlink" Target="https://www.consultant.ru/document/cons_doc_LAW_34683/1d46f905d0291f27371d9010605c9c6a5d7412e0/" TargetMode="External"/><Relationship Id="rId17" Type="http://schemas.openxmlformats.org/officeDocument/2006/relationships/hyperlink" Target="https://www.consultant.ru/document/Cons_doc_LAW_61801/6c94959bc017ac80140621762d2ac59f6006b08c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Подтверждение соглашения при первом входе сотрудника</dc:title>
  <dc:subject>Проект документа для юридической проверки</dc:subject>
  <dc:creator/>
  <cp:keywords/>
  <dc:description>Не утверждено и не подписано. Не является подтверждением согласия работника.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