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 statute applies.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As amended in 2025.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/Relationships>
</file>