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Fees: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Item</w:t>
            </w:r>
          </w:p>
        </w:tc>
        <w:tc>
          <w:tcPr>
            <w:tcW w:w="2000" w:type="dxa"/>
          </w:tcPr>
          <w:p>
            <w:r>
              <w:t xml:space="preserve">Fee</w:t>
            </w:r>
          </w:p>
        </w:tc>
      </w:tr>
      <w:tr>
        <w:tc>
          <w:tcPr>
            <w:tcW w:w="2000" w:type="dxa"/>
          </w:tcPr>
          <w:p>
            <w:r>
              <w:t xml:space="preserve">Setup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</w:tr>
      <w:tr>
        <w:tc>
          <w:tcPr>
            <w:tcW w:w="2000" w:type="dxa"/>
          </w:tcPr>
          <w:p>
            <w:r>
              <w:t xml:space="preserve">Support</w:t>
            </w:r>
          </w:p>
        </w:tc>
        <w:tc>
          <w:tcPr>
            <w:tcW w:w="2000" w:type="dxa"/>
          </w:tcPr>
          <w:p>
            <w:r>
              <w:t xml:space="preserve">20</w:t>
            </w:r>
          </w:p>
        </w:tc>
      </w:tr>
    </w:tbl>
    <w:p>
      <w:r>
        <w:t xml:space="preserve">All fees are in euros.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