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agreement, identified as CT-N501, is entered into between Maple Advisory Ltd, the service provider, and Brook Manufacturing Ltd, the client.</w:t>
      </w:r>
    </w:p>
    <w:p>
      <w:r>
        <w:t>The parties signed on 12th March 2026 and agree that the contract takes effect on the 15th day of March 2026.</w:t>
      </w:r>
    </w:p>
    <w:p>
      <w:r>
        <w:t>The individual assigned to the work is recorded under personnel ID 000501.</w:t>
      </w:r>
    </w:p>
    <w:p>
      <w:r>
        <w:br w:type="page"/>
      </w:r>
    </w:p>
    <w:p>
      <w:r>
        <w:t>The services will continue until 14th March 2027, when this agreement expires.</w:t>
      </w:r>
    </w:p>
    <w:p>
      <w:r>
        <w:t>The agreed total contract value is EUR 48,000.00. An initial deposit of EUR 4,800.00 is payable on commencement.</w:t>
      </w:r>
    </w:p>
    <w:p>
      <w:r>
        <w:t>The internal reference for this engagement is REF-N501. Either party must give 30 days of notice to terminate.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