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C047" w14:textId="77777777" w:rsidR="003B3254" w:rsidRDefault="003B3254">
      <w:proofErr w:type="spellStart"/>
      <w:r w:rsidRPr="003B3254">
        <w:t>Доманівська</w:t>
      </w:r>
      <w:proofErr w:type="spellEnd"/>
      <w:r w:rsidRPr="003B3254">
        <w:t xml:space="preserve"> громада виграла проєкт</w:t>
      </w:r>
      <w:r>
        <w:t>.</w:t>
      </w:r>
    </w:p>
    <w:p w14:paraId="37B62E81" w14:textId="6A8629DC" w:rsidR="00A85004" w:rsidRDefault="003B3254">
      <w:r w:rsidRPr="003B3254">
        <w:t xml:space="preserve">У </w:t>
      </w:r>
      <w:proofErr w:type="spellStart"/>
      <w:r w:rsidRPr="003B3254">
        <w:t>Доманівському</w:t>
      </w:r>
      <w:proofErr w:type="spellEnd"/>
      <w:r w:rsidRPr="003B3254">
        <w:t xml:space="preserve"> будинку дитячої творчості, що на Миколаївщині, працює гончарна майстерня, де всі охочі можуть навчитися створювати вироби з глини. Для дорослих організовують </w:t>
      </w:r>
      <w:proofErr w:type="spellStart"/>
      <w:r w:rsidRPr="003B3254">
        <w:t>майстеркласи</w:t>
      </w:r>
      <w:proofErr w:type="spellEnd"/>
      <w:r w:rsidRPr="003B3254">
        <w:t>, а діти можуть відвідувати заняття постійно.</w:t>
      </w:r>
    </w:p>
    <w:p w14:paraId="313BF9B8" w14:textId="77777777" w:rsidR="003B3254" w:rsidRDefault="003B3254"/>
    <w:sectPr w:rsidR="003B32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54"/>
    <w:rsid w:val="003B3254"/>
    <w:rsid w:val="007475CC"/>
    <w:rsid w:val="00980125"/>
    <w:rsid w:val="009F41B1"/>
    <w:rsid w:val="00A8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A9B2B"/>
  <w15:chartTrackingRefBased/>
  <w15:docId w15:val="{0408E15B-B716-4485-873A-F4E1AB7E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3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2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2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2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2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2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2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B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B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B32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2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2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B32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oonuniq186</dc:creator>
  <cp:keywords/>
  <dc:description/>
  <cp:lastModifiedBy>E oonuniq186</cp:lastModifiedBy>
  <cp:revision>1</cp:revision>
  <dcterms:created xsi:type="dcterms:W3CDTF">2026-06-02T13:16:00Z</dcterms:created>
  <dcterms:modified xsi:type="dcterms:W3CDTF">2026-06-02T13:17:00Z</dcterms:modified>
</cp:coreProperties>
</file>