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5D80" w14:textId="77777777" w:rsidR="008927D7" w:rsidRPr="00582310" w:rsidRDefault="00C0615B">
      <w:pPr>
        <w:shd w:val="clear" w:color="1F3864" w:fill="1F3864"/>
        <w:spacing w:before="200" w:after="100"/>
        <w:ind w:left="100" w:right="100"/>
        <w:jc w:val="center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  <w:color w:val="FFFFFF"/>
          <w:sz w:val="26"/>
          <w:szCs w:val="26"/>
        </w:rPr>
        <w:t>MINUTA EJECUTIVA — ALCANCE Y ROADMAP SMARTVISTA</w:t>
      </w:r>
    </w:p>
    <w:p w14:paraId="1DB6D503" w14:textId="77777777" w:rsidR="008927D7" w:rsidRPr="00582310" w:rsidRDefault="00C0615B">
      <w:pPr>
        <w:spacing w:before="80" w:after="300"/>
        <w:jc w:val="center"/>
        <w:rPr>
          <w:rFonts w:ascii="Calibri" w:hAnsi="Calibri" w:cs="Calibri"/>
        </w:rPr>
      </w:pPr>
      <w:r w:rsidRPr="00582310">
        <w:rPr>
          <w:rFonts w:ascii="Calibri" w:hAnsi="Calibri" w:cs="Calibri"/>
          <w:i/>
          <w:iCs/>
          <w:color w:val="2E75B6"/>
          <w:sz w:val="22"/>
          <w:szCs w:val="22"/>
        </w:rPr>
        <w:t>Programa Unity R4 | Acompañamiento Accenture | 17 de julio de 2026</w:t>
      </w:r>
    </w:p>
    <w:p w14:paraId="0A16A1F2" w14:textId="77777777" w:rsidR="008927D7" w:rsidRPr="00582310" w:rsidRDefault="00C0615B">
      <w:pPr>
        <w:shd w:val="clear" w:color="1F3864" w:fill="1F3864"/>
        <w:spacing w:before="200" w:after="100"/>
        <w:ind w:left="100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  <w:color w:val="FFFFFF"/>
          <w:sz w:val="22"/>
          <w:szCs w:val="22"/>
        </w:rPr>
        <w:t>1. Contexto de la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927D7" w:rsidRPr="00582310" w14:paraId="33F870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D6E4F0" w:fill="D6E4F0"/>
          </w:tcPr>
          <w:p w14:paraId="214F69D4" w14:textId="77777777" w:rsidR="008927D7" w:rsidRPr="00582310" w:rsidRDefault="00C0615B">
            <w:pPr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7360" w:type="dxa"/>
            <w:shd w:val="clear" w:color="D6E4F0" w:fill="D6E4F0"/>
          </w:tcPr>
          <w:p w14:paraId="7E9BA43B" w14:textId="77777777" w:rsidR="008927D7" w:rsidRPr="00582310" w:rsidRDefault="00C0615B">
            <w:pPr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  <w:b/>
                <w:bCs/>
              </w:rPr>
              <w:t>Detalle</w:t>
            </w:r>
          </w:p>
        </w:tc>
      </w:tr>
      <w:tr w:rsidR="008927D7" w:rsidRPr="00582310" w14:paraId="2D094B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</w:tcPr>
          <w:p w14:paraId="5D0C74F6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Fecha</w:t>
            </w:r>
          </w:p>
        </w:tc>
        <w:tc>
          <w:tcPr>
            <w:tcW w:w="7360" w:type="dxa"/>
            <w:shd w:val="clear" w:color="FFFFFF" w:fill="FFFFFF"/>
          </w:tcPr>
          <w:p w14:paraId="41EFF14F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17 de julio de 2026</w:t>
            </w:r>
          </w:p>
        </w:tc>
      </w:tr>
      <w:tr w:rsidR="008927D7" w:rsidRPr="00582310" w14:paraId="12D0C5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2F2F2" w:fill="F2F2F2"/>
          </w:tcPr>
          <w:p w14:paraId="58ACD03B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Propósito</w:t>
            </w:r>
          </w:p>
        </w:tc>
        <w:tc>
          <w:tcPr>
            <w:tcW w:w="7360" w:type="dxa"/>
            <w:shd w:val="clear" w:color="F2F2F2" w:fill="F2F2F2"/>
          </w:tcPr>
          <w:p w14:paraId="78BD5773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 xml:space="preserve">Sesión de alineación de alcance y </w:t>
            </w:r>
            <w:proofErr w:type="spellStart"/>
            <w:r w:rsidRPr="00582310">
              <w:rPr>
                <w:rFonts w:ascii="Calibri" w:hAnsi="Calibri" w:cs="Calibri"/>
              </w:rPr>
              <w:t>roadmap</w:t>
            </w:r>
            <w:proofErr w:type="spellEnd"/>
            <w:r w:rsidRPr="00582310">
              <w:rPr>
                <w:rFonts w:ascii="Calibri" w:hAnsi="Calibri" w:cs="Calibri"/>
              </w:rPr>
              <w:t xml:space="preserve"> del </w:t>
            </w:r>
            <w:proofErr w:type="spellStart"/>
            <w:r w:rsidRPr="00582310">
              <w:rPr>
                <w:rFonts w:ascii="Calibri" w:hAnsi="Calibri" w:cs="Calibri"/>
              </w:rPr>
              <w:t>track</w:t>
            </w:r>
            <w:proofErr w:type="spellEnd"/>
            <w:r w:rsidRPr="00582310">
              <w:rPr>
                <w:rFonts w:ascii="Calibri" w:hAnsi="Calibri" w:cs="Calibri"/>
              </w:rPr>
              <w:t xml:space="preserve"> </w:t>
            </w:r>
            <w:proofErr w:type="spellStart"/>
            <w:r w:rsidRPr="00582310">
              <w:rPr>
                <w:rFonts w:ascii="Calibri" w:hAnsi="Calibri" w:cs="Calibri"/>
              </w:rPr>
              <w:t>SmartVista</w:t>
            </w:r>
            <w:proofErr w:type="spellEnd"/>
            <w:r w:rsidRPr="00582310">
              <w:rPr>
                <w:rFonts w:ascii="Calibri" w:hAnsi="Calibri" w:cs="Calibri"/>
              </w:rPr>
              <w:t xml:space="preserve"> para el R4: (1) entender el proceso de análisis y diseño y sus entregables, (2) revisar el detalle de las HUs divididas en solución e integraciones, (3) entender la metodología de reporte de avance, y (4) identificar riesgos e </w:t>
            </w:r>
            <w:proofErr w:type="spellStart"/>
            <w:r w:rsidRPr="00582310">
              <w:rPr>
                <w:rFonts w:ascii="Calibri" w:hAnsi="Calibri" w:cs="Calibri"/>
              </w:rPr>
              <w:t>issues</w:t>
            </w:r>
            <w:proofErr w:type="spellEnd"/>
            <w:r w:rsidRPr="00582310">
              <w:rPr>
                <w:rFonts w:ascii="Calibri" w:hAnsi="Calibri" w:cs="Calibri"/>
              </w:rPr>
              <w:t xml:space="preserve"> del </w:t>
            </w:r>
            <w:proofErr w:type="spellStart"/>
            <w:r w:rsidRPr="00582310">
              <w:rPr>
                <w:rFonts w:ascii="Calibri" w:hAnsi="Calibri" w:cs="Calibri"/>
              </w:rPr>
              <w:t>track</w:t>
            </w:r>
            <w:proofErr w:type="spellEnd"/>
            <w:r w:rsidRPr="00582310">
              <w:rPr>
                <w:rFonts w:ascii="Calibri" w:hAnsi="Calibri" w:cs="Calibri"/>
              </w:rPr>
              <w:t>.</w:t>
            </w:r>
          </w:p>
        </w:tc>
      </w:tr>
      <w:tr w:rsidR="008927D7" w:rsidRPr="00582310" w14:paraId="3A5F9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</w:tcPr>
          <w:p w14:paraId="6E41EA9E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Participantes clave</w:t>
            </w:r>
          </w:p>
        </w:tc>
        <w:tc>
          <w:tcPr>
            <w:tcW w:w="7360" w:type="dxa"/>
            <w:shd w:val="clear" w:color="FFFFFF" w:fill="FFFFFF"/>
          </w:tcPr>
          <w:p w14:paraId="71D2ADBA" w14:textId="603BE808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Pablo Lorenzo</w:t>
            </w:r>
            <w:r w:rsidR="00582310">
              <w:rPr>
                <w:rFonts w:ascii="Calibri" w:hAnsi="Calibri" w:cs="Calibri"/>
              </w:rPr>
              <w:t xml:space="preserve">, </w:t>
            </w:r>
            <w:r w:rsidRPr="00582310">
              <w:rPr>
                <w:rFonts w:ascii="Calibri" w:hAnsi="Calibri" w:cs="Calibri"/>
              </w:rPr>
              <w:t xml:space="preserve">Ana </w:t>
            </w:r>
            <w:proofErr w:type="gramStart"/>
            <w:r w:rsidRPr="00582310">
              <w:rPr>
                <w:rFonts w:ascii="Calibri" w:hAnsi="Calibri" w:cs="Calibri"/>
              </w:rPr>
              <w:t xml:space="preserve">Cervantes </w:t>
            </w:r>
            <w:r w:rsidRPr="00582310">
              <w:rPr>
                <w:rFonts w:ascii="Calibri" w:hAnsi="Calibri" w:cs="Calibri"/>
              </w:rPr>
              <w:t>,</w:t>
            </w:r>
            <w:proofErr w:type="gramEnd"/>
            <w:r w:rsidRPr="00582310">
              <w:rPr>
                <w:rFonts w:ascii="Calibri" w:hAnsi="Calibri" w:cs="Calibri"/>
              </w:rPr>
              <w:t xml:space="preserve"> José Jaimes Ortiz</w:t>
            </w:r>
          </w:p>
        </w:tc>
      </w:tr>
    </w:tbl>
    <w:p w14:paraId="00F08757" w14:textId="77777777" w:rsidR="008927D7" w:rsidRPr="00582310" w:rsidRDefault="008927D7">
      <w:pPr>
        <w:spacing w:before="200"/>
        <w:rPr>
          <w:rFonts w:ascii="Calibri" w:hAnsi="Calibri" w:cs="Calibri"/>
        </w:rPr>
      </w:pPr>
    </w:p>
    <w:p w14:paraId="2684D831" w14:textId="77777777" w:rsidR="008927D7" w:rsidRPr="00582310" w:rsidRDefault="00C0615B">
      <w:pPr>
        <w:shd w:val="clear" w:color="1F3864" w:fill="1F3864"/>
        <w:spacing w:before="200" w:after="100"/>
        <w:ind w:left="100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  <w:color w:val="FFFFFF"/>
          <w:sz w:val="22"/>
          <w:szCs w:val="22"/>
        </w:rPr>
        <w:t>2. Conclusiones clave</w:t>
      </w:r>
    </w:p>
    <w:p w14:paraId="5166A37F" w14:textId="62D08D21" w:rsidR="008927D7" w:rsidRPr="00582310" w:rsidRDefault="00C0615B" w:rsidP="00582310">
      <w:pPr>
        <w:pStyle w:val="ListParagraph"/>
        <w:numPr>
          <w:ilvl w:val="1"/>
          <w:numId w:val="3"/>
        </w:numPr>
        <w:spacing w:before="160" w:after="60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  <w:color w:val="2E75B6"/>
        </w:rPr>
        <w:t>Proceso de análisis y diseño</w:t>
      </w:r>
    </w:p>
    <w:p w14:paraId="685FE8E8" w14:textId="77777777" w:rsidR="00582310" w:rsidRDefault="00C0615B" w:rsidP="00582310">
      <w:pPr>
        <w:pStyle w:val="ListParagraph"/>
        <w:numPr>
          <w:ilvl w:val="0"/>
          <w:numId w:val="2"/>
        </w:numPr>
        <w:spacing w:before="70" w:after="70"/>
        <w:ind w:left="709" w:hanging="283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 xml:space="preserve">DEF como documento único de inicio. </w:t>
      </w:r>
      <w:r w:rsidRPr="00582310">
        <w:rPr>
          <w:rFonts w:ascii="Calibri" w:hAnsi="Calibri" w:cs="Calibri"/>
        </w:rPr>
        <w:t xml:space="preserve">El Documento de Especificación Funcional (DEF) es el punto de partida para todo el R4: recoge lo que negocio quiere en el producto, incluyendo tanto solución como integraciones en un mismo documento. No existe un DEF separado por </w:t>
      </w:r>
      <w:proofErr w:type="spellStart"/>
      <w:r w:rsidRPr="00582310">
        <w:rPr>
          <w:rFonts w:ascii="Calibri" w:hAnsi="Calibri" w:cs="Calibri"/>
        </w:rPr>
        <w:t>track</w:t>
      </w:r>
      <w:proofErr w:type="spellEnd"/>
      <w:r w:rsidRPr="00582310">
        <w:rPr>
          <w:rFonts w:ascii="Calibri" w:hAnsi="Calibri" w:cs="Calibri"/>
        </w:rPr>
        <w:t xml:space="preserve"> — es uno para todo el programa. El equipo de </w:t>
      </w:r>
      <w:proofErr w:type="spellStart"/>
      <w:r w:rsidRPr="00582310">
        <w:rPr>
          <w:rFonts w:ascii="Calibri" w:hAnsi="Calibri" w:cs="Calibri"/>
        </w:rPr>
        <w:t>SmartVista</w:t>
      </w:r>
      <w:proofErr w:type="spellEnd"/>
      <w:r w:rsidRPr="00582310">
        <w:rPr>
          <w:rFonts w:ascii="Calibri" w:hAnsi="Calibri" w:cs="Calibri"/>
        </w:rPr>
        <w:t xml:space="preserve"> toma el DEF como insumo para desintegrar cada funcionalidad en sus componentes: lo que se resuelve con capacidades nativas de la suite (caja/configuración) y lo que requiere desarrollo adicional o integración con sistema</w:t>
      </w:r>
      <w:r w:rsidRPr="00582310">
        <w:rPr>
          <w:rFonts w:ascii="Calibri" w:hAnsi="Calibri" w:cs="Calibri"/>
        </w:rPr>
        <w:t>s externos. El refinamiento de las HUs existentes se hace en el mismo DEF</w:t>
      </w:r>
      <w:r w:rsidRPr="00582310">
        <w:rPr>
          <w:rFonts w:ascii="Calibri" w:hAnsi="Calibri" w:cs="Calibri"/>
        </w:rPr>
        <w:t>.</w:t>
      </w:r>
    </w:p>
    <w:p w14:paraId="6BCB42FC" w14:textId="77777777" w:rsidR="00582310" w:rsidRDefault="00C0615B" w:rsidP="00582310">
      <w:pPr>
        <w:pStyle w:val="ListParagraph"/>
        <w:numPr>
          <w:ilvl w:val="0"/>
          <w:numId w:val="2"/>
        </w:numPr>
        <w:spacing w:before="70" w:after="70"/>
        <w:ind w:left="709" w:hanging="283"/>
        <w:rPr>
          <w:rFonts w:ascii="Calibri" w:hAnsi="Calibri" w:cs="Calibri"/>
        </w:rPr>
      </w:pPr>
      <w:r w:rsidRPr="00582310">
        <w:rPr>
          <w:rFonts w:ascii="Calibri" w:hAnsi="Calibri" w:cs="Calibri"/>
        </w:rPr>
        <w:t>El proceso se divide en dos fases:</w:t>
      </w:r>
    </w:p>
    <w:p w14:paraId="4130EA49" w14:textId="176F94E4" w:rsidR="00582310" w:rsidRDefault="00C0615B" w:rsidP="00582310">
      <w:pPr>
        <w:pStyle w:val="ListParagraph"/>
        <w:numPr>
          <w:ilvl w:val="1"/>
          <w:numId w:val="2"/>
        </w:numPr>
        <w:spacing w:before="70" w:after="70"/>
        <w:ind w:left="1134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 xml:space="preserve">Análisis: </w:t>
      </w:r>
      <w:r w:rsidRPr="00582310">
        <w:rPr>
          <w:rFonts w:ascii="Calibri" w:hAnsi="Calibri" w:cs="Calibri"/>
        </w:rPr>
        <w:t>Toma como insumo el DEF</w:t>
      </w:r>
      <w:r w:rsidRPr="00582310">
        <w:rPr>
          <w:rFonts w:ascii="Calibri" w:hAnsi="Calibri" w:cs="Calibri"/>
        </w:rPr>
        <w:t xml:space="preserve">. El equipo analiza qué capacidades de la suite habilitar y qué requiere integración. Incluye el uso de una </w:t>
      </w:r>
      <w:r w:rsidRPr="00582310">
        <w:rPr>
          <w:rFonts w:ascii="Calibri" w:hAnsi="Calibri" w:cs="Calibri"/>
        </w:rPr>
        <w:t xml:space="preserve">Estimadora </w:t>
      </w:r>
      <w:r w:rsidRPr="00582310">
        <w:rPr>
          <w:rFonts w:ascii="Calibri" w:hAnsi="Calibri" w:cs="Calibri"/>
        </w:rPr>
        <w:t xml:space="preserve">para calcular tiempos de desarrollo e implementación por HU. </w:t>
      </w:r>
      <w:proofErr w:type="spellStart"/>
      <w:r w:rsidRPr="00582310">
        <w:rPr>
          <w:rFonts w:ascii="Calibri" w:hAnsi="Calibri" w:cs="Calibri"/>
        </w:rPr>
        <w:t>SmartVista</w:t>
      </w:r>
      <w:proofErr w:type="spellEnd"/>
      <w:r w:rsidRPr="00582310">
        <w:rPr>
          <w:rFonts w:ascii="Calibri" w:hAnsi="Calibri" w:cs="Calibri"/>
        </w:rPr>
        <w:t xml:space="preserve"> contempla 7 HUs funcionales + 1 parcial de soporte a Cobranza. Los criterios de aceptación ya vienen definidos en el DEF desde el inicio — el refinamiento técnico sirve para aclarar y complementar, no para reescribirlos. El número de HUs se mantiene sin incremento: aumentar HUs cambiaría las estimaciones del plan de trabajo.</w:t>
      </w:r>
    </w:p>
    <w:p w14:paraId="167FDE6B" w14:textId="2EAFB5C9" w:rsidR="008927D7" w:rsidRPr="00582310" w:rsidRDefault="00C0615B" w:rsidP="00582310">
      <w:pPr>
        <w:pStyle w:val="ListParagraph"/>
        <w:numPr>
          <w:ilvl w:val="1"/>
          <w:numId w:val="2"/>
        </w:numPr>
        <w:spacing w:before="70" w:after="70"/>
        <w:ind w:left="1134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 xml:space="preserve">Diseño: </w:t>
      </w:r>
      <w:r w:rsidRPr="00582310">
        <w:rPr>
          <w:rFonts w:ascii="Calibri" w:hAnsi="Calibri" w:cs="Calibri"/>
        </w:rPr>
        <w:t>Comprende el refinamiento de HUs y la construcción de los entregables técnicos: el DTM (Diseño Técnico Memoria — diagrama técnico con flujos de trabajo, componentes, microservicios, bases de datos y contratos; define qué se quiere como funcionalidad y quién interactúa con quién) y el DTC (Diseño Técnico de Componentes — descripción técnica detallada de cada componente: parámetros que se pasan, archivos que se comparten, contratos; habilita el desarrollo). Primero se construye el DTM y luego el DTC. Regla ba</w:t>
      </w:r>
      <w:r w:rsidRPr="00582310">
        <w:rPr>
          <w:rFonts w:ascii="Calibri" w:hAnsi="Calibri" w:cs="Calibri"/>
        </w:rPr>
        <w:t xml:space="preserve">se: al menos 1 DTM y 1 DTC por HU (8 en total para </w:t>
      </w:r>
      <w:proofErr w:type="spellStart"/>
      <w:r w:rsidRPr="00582310">
        <w:rPr>
          <w:rFonts w:ascii="Calibri" w:hAnsi="Calibri" w:cs="Calibri"/>
        </w:rPr>
        <w:t>SmartVista</w:t>
      </w:r>
      <w:proofErr w:type="spellEnd"/>
      <w:r w:rsidRPr="00582310">
        <w:rPr>
          <w:rFonts w:ascii="Calibri" w:hAnsi="Calibri" w:cs="Calibri"/>
        </w:rPr>
        <w:t xml:space="preserve">), aunque una HU compleja puede requerir más de un DTM. El número definitivo aún no está confirmado. </w:t>
      </w:r>
    </w:p>
    <w:p w14:paraId="48E750B3" w14:textId="37A22518" w:rsidR="008927D7" w:rsidRPr="00582310" w:rsidRDefault="00C0615B" w:rsidP="00582310">
      <w:pPr>
        <w:pStyle w:val="ListParagraph"/>
        <w:numPr>
          <w:ilvl w:val="0"/>
          <w:numId w:val="4"/>
        </w:numPr>
        <w:spacing w:before="70" w:after="70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 xml:space="preserve">Proceso con BPC vía plataforma ESM. </w:t>
      </w:r>
      <w:r w:rsidRPr="00582310">
        <w:rPr>
          <w:rFonts w:ascii="Calibri" w:hAnsi="Calibri" w:cs="Calibri"/>
        </w:rPr>
        <w:t xml:space="preserve">Las funcionalidades que requieren desarrollo o configuración de BPC </w:t>
      </w:r>
      <w:r w:rsidRPr="00582310">
        <w:rPr>
          <w:rFonts w:ascii="Calibri" w:hAnsi="Calibri" w:cs="Calibri"/>
        </w:rPr>
        <w:t xml:space="preserve">se gestionan formalmente a través de la plataforma ESM: el equipo de BanCoppel registra el requerimiento, BPC entrega una propuesta (indicando si es desarrollo o configuración) y habilita un </w:t>
      </w:r>
      <w:proofErr w:type="gramStart"/>
      <w:r w:rsidRPr="00582310">
        <w:rPr>
          <w:rFonts w:ascii="Calibri" w:hAnsi="Calibri" w:cs="Calibri"/>
        </w:rPr>
        <w:t>ticket</w:t>
      </w:r>
      <w:proofErr w:type="gramEnd"/>
      <w:r w:rsidRPr="00582310">
        <w:rPr>
          <w:rFonts w:ascii="Calibri" w:hAnsi="Calibri" w:cs="Calibri"/>
        </w:rPr>
        <w:t xml:space="preserve"> interno en Jira para la célula de desarrollo correspondiente — puede estar en México, Latinoamérica o cualquier parte del mundo. Una vez entregado el componente en ambientes previos, el equipo de BanCoppel valida la funcionalidad en el ambiente </w:t>
      </w:r>
      <w:proofErr w:type="gramStart"/>
      <w:r w:rsidRPr="00582310">
        <w:rPr>
          <w:rFonts w:ascii="Calibri" w:hAnsi="Calibri" w:cs="Calibri"/>
        </w:rPr>
        <w:t>de test</w:t>
      </w:r>
      <w:proofErr w:type="gramEnd"/>
      <w:r w:rsidRPr="00582310">
        <w:rPr>
          <w:rFonts w:ascii="Calibri" w:hAnsi="Calibri" w:cs="Calibri"/>
        </w:rPr>
        <w:t xml:space="preserve"> interno. Si hay observaciones, se gestiona en el mismo </w:t>
      </w:r>
      <w:proofErr w:type="gramStart"/>
      <w:r w:rsidRPr="00582310">
        <w:rPr>
          <w:rFonts w:ascii="Calibri" w:hAnsi="Calibri" w:cs="Calibri"/>
        </w:rPr>
        <w:t>ticket</w:t>
      </w:r>
      <w:proofErr w:type="gramEnd"/>
      <w:r w:rsidRPr="00582310">
        <w:rPr>
          <w:rFonts w:ascii="Calibri" w:hAnsi="Calibri" w:cs="Calibri"/>
        </w:rPr>
        <w:t xml:space="preserve">. Cuando la funcionalidad está correcta, se promueve a QA. Importante: no todo lo del DEF lo hace BPC — BanCoppel también realiza configuraciones y complementos internos alrededor de lo que </w:t>
      </w:r>
      <w:r w:rsidRPr="00582310">
        <w:rPr>
          <w:rFonts w:ascii="Calibri" w:hAnsi="Calibri" w:cs="Calibri"/>
        </w:rPr>
        <w:lastRenderedPageBreak/>
        <w:t>pide a BPC. Si hay costo implícito por el desarrollo, se genera en paralelo una propuesta económica de BPC.</w:t>
      </w:r>
    </w:p>
    <w:p w14:paraId="6D0FC70E" w14:textId="77777777" w:rsidR="008927D7" w:rsidRPr="00582310" w:rsidRDefault="00C0615B">
      <w:pPr>
        <w:spacing w:before="160" w:after="60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  <w:color w:val="2E75B6"/>
        </w:rPr>
        <w:t xml:space="preserve">2.2 HUs de </w:t>
      </w:r>
      <w:proofErr w:type="spellStart"/>
      <w:r w:rsidRPr="00582310">
        <w:rPr>
          <w:rFonts w:ascii="Calibri" w:hAnsi="Calibri" w:cs="Calibri"/>
          <w:b/>
          <w:bCs/>
          <w:color w:val="2E75B6"/>
        </w:rPr>
        <w:t>SmartVista</w:t>
      </w:r>
      <w:proofErr w:type="spellEnd"/>
      <w:r w:rsidRPr="00582310">
        <w:rPr>
          <w:rFonts w:ascii="Calibri" w:hAnsi="Calibri" w:cs="Calibri"/>
          <w:b/>
          <w:bCs/>
          <w:color w:val="2E75B6"/>
        </w:rPr>
        <w:t xml:space="preserve"> R4 — solución e integraciones</w:t>
      </w:r>
    </w:p>
    <w:p w14:paraId="6AA9FE75" w14:textId="6A16ACFD" w:rsidR="008927D7" w:rsidRPr="00582310" w:rsidRDefault="00C0615B" w:rsidP="00582310">
      <w:pPr>
        <w:pStyle w:val="ListParagraph"/>
        <w:numPr>
          <w:ilvl w:val="0"/>
          <w:numId w:val="4"/>
        </w:numPr>
        <w:spacing w:before="80" w:after="70"/>
        <w:rPr>
          <w:rFonts w:ascii="Calibri" w:hAnsi="Calibri" w:cs="Calibri"/>
        </w:rPr>
      </w:pPr>
      <w:r w:rsidRPr="00582310">
        <w:rPr>
          <w:rFonts w:ascii="Calibri" w:hAnsi="Calibri" w:cs="Calibri"/>
        </w:rPr>
        <w:t xml:space="preserve">El </w:t>
      </w:r>
      <w:proofErr w:type="spellStart"/>
      <w:r w:rsidRPr="00582310">
        <w:rPr>
          <w:rFonts w:ascii="Calibri" w:hAnsi="Calibri" w:cs="Calibri"/>
        </w:rPr>
        <w:t>track</w:t>
      </w:r>
      <w:proofErr w:type="spellEnd"/>
      <w:r w:rsidRPr="00582310">
        <w:rPr>
          <w:rFonts w:ascii="Calibri" w:hAnsi="Calibri" w:cs="Calibri"/>
        </w:rPr>
        <w:t xml:space="preserve"> considera 7 HUs funcionales + 1 de soporte a Cobranza.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000"/>
        <w:gridCol w:w="1800"/>
        <w:gridCol w:w="4160"/>
      </w:tblGrid>
      <w:tr w:rsidR="008927D7" w:rsidRPr="00582310" w14:paraId="15A390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1F3864" w:fill="1F3864"/>
          </w:tcPr>
          <w:p w14:paraId="1693B742" w14:textId="77777777" w:rsidR="008927D7" w:rsidRPr="00582310" w:rsidRDefault="00C0615B">
            <w:pPr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shd w:val="clear" w:color="1F3864" w:fill="1F3864"/>
          </w:tcPr>
          <w:p w14:paraId="3BEA0FE8" w14:textId="77777777" w:rsidR="008927D7" w:rsidRPr="00582310" w:rsidRDefault="00C0615B">
            <w:pPr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  <w:b/>
                <w:bCs/>
                <w:color w:val="FFFFFF"/>
              </w:rPr>
              <w:t>Historia de usuario</w:t>
            </w:r>
          </w:p>
        </w:tc>
        <w:tc>
          <w:tcPr>
            <w:tcW w:w="1800" w:type="dxa"/>
            <w:shd w:val="clear" w:color="1F3864" w:fill="1F3864"/>
          </w:tcPr>
          <w:p w14:paraId="1D710236" w14:textId="77777777" w:rsidR="008927D7" w:rsidRPr="00582310" w:rsidRDefault="00C0615B">
            <w:pPr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160" w:type="dxa"/>
            <w:shd w:val="clear" w:color="1F3864" w:fill="1F3864"/>
          </w:tcPr>
          <w:p w14:paraId="136E9DAC" w14:textId="77777777" w:rsidR="008927D7" w:rsidRPr="00582310" w:rsidRDefault="00C0615B">
            <w:pPr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  <w:b/>
                <w:bCs/>
                <w:color w:val="FFFFFF"/>
              </w:rPr>
              <w:t>Detalle</w:t>
            </w:r>
          </w:p>
        </w:tc>
      </w:tr>
      <w:tr w:rsidR="008927D7" w:rsidRPr="00582310" w14:paraId="55CFBA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FFFFFF" w:fill="FFFFFF"/>
          </w:tcPr>
          <w:p w14:paraId="3EFD70DB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1</w:t>
            </w:r>
          </w:p>
        </w:tc>
        <w:tc>
          <w:tcPr>
            <w:tcW w:w="3000" w:type="dxa"/>
            <w:shd w:val="clear" w:color="FFFFFF" w:fill="FFFFFF"/>
          </w:tcPr>
          <w:p w14:paraId="1BDF5794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Homologar conceptos de comisiones</w:t>
            </w:r>
          </w:p>
        </w:tc>
        <w:tc>
          <w:tcPr>
            <w:tcW w:w="1800" w:type="dxa"/>
            <w:shd w:val="clear" w:color="FFFFFF" w:fill="FFFFFF"/>
          </w:tcPr>
          <w:p w14:paraId="622F9052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Solución</w:t>
            </w:r>
          </w:p>
        </w:tc>
        <w:tc>
          <w:tcPr>
            <w:tcW w:w="4160" w:type="dxa"/>
            <w:shd w:val="clear" w:color="FFFFFF" w:fill="FFFFFF"/>
          </w:tcPr>
          <w:p w14:paraId="55C08589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Caja / configuración</w:t>
            </w:r>
          </w:p>
        </w:tc>
      </w:tr>
      <w:tr w:rsidR="008927D7" w:rsidRPr="00582310" w14:paraId="309587E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F2F2F2" w:fill="F2F2F2"/>
          </w:tcPr>
          <w:p w14:paraId="1D290F28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2</w:t>
            </w:r>
          </w:p>
        </w:tc>
        <w:tc>
          <w:tcPr>
            <w:tcW w:w="3000" w:type="dxa"/>
            <w:shd w:val="clear" w:color="F2F2F2" w:fill="F2F2F2"/>
          </w:tcPr>
          <w:p w14:paraId="4B372635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Delimitar saldo a favor</w:t>
            </w:r>
          </w:p>
        </w:tc>
        <w:tc>
          <w:tcPr>
            <w:tcW w:w="1800" w:type="dxa"/>
            <w:shd w:val="clear" w:color="F2F2F2" w:fill="F2F2F2"/>
          </w:tcPr>
          <w:p w14:paraId="1DC18D55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Solución</w:t>
            </w:r>
          </w:p>
        </w:tc>
        <w:tc>
          <w:tcPr>
            <w:tcW w:w="4160" w:type="dxa"/>
            <w:shd w:val="clear" w:color="F2F2F2" w:fill="F2F2F2"/>
          </w:tcPr>
          <w:p w14:paraId="2557B3B2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Caja + desarrollo</w:t>
            </w:r>
          </w:p>
        </w:tc>
      </w:tr>
      <w:tr w:rsidR="008927D7" w:rsidRPr="00582310" w14:paraId="40FFEB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FFFFFF" w:fill="FFFFFF"/>
          </w:tcPr>
          <w:p w14:paraId="738AC93B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3</w:t>
            </w:r>
          </w:p>
        </w:tc>
        <w:tc>
          <w:tcPr>
            <w:tcW w:w="3000" w:type="dxa"/>
            <w:shd w:val="clear" w:color="FFFFFF" w:fill="FFFFFF"/>
          </w:tcPr>
          <w:p w14:paraId="2E56DE5C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Maquila automatizada</w:t>
            </w:r>
          </w:p>
        </w:tc>
        <w:tc>
          <w:tcPr>
            <w:tcW w:w="1800" w:type="dxa"/>
            <w:shd w:val="clear" w:color="FFFFFF" w:fill="FFFFFF"/>
          </w:tcPr>
          <w:p w14:paraId="559D4810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Integración</w:t>
            </w:r>
          </w:p>
        </w:tc>
        <w:tc>
          <w:tcPr>
            <w:tcW w:w="4160" w:type="dxa"/>
            <w:shd w:val="clear" w:color="FFFFFF" w:fill="FFFFFF"/>
          </w:tcPr>
          <w:p w14:paraId="0DE26316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proofErr w:type="spellStart"/>
            <w:r w:rsidRPr="00582310">
              <w:rPr>
                <w:rFonts w:ascii="Calibri" w:hAnsi="Calibri" w:cs="Calibri"/>
              </w:rPr>
              <w:t>SmartVista</w:t>
            </w:r>
            <w:proofErr w:type="spellEnd"/>
            <w:r w:rsidRPr="00582310">
              <w:rPr>
                <w:rFonts w:ascii="Calibri" w:hAnsi="Calibri" w:cs="Calibri"/>
              </w:rPr>
              <w:t xml:space="preserve"> → maquilador vía </w:t>
            </w:r>
            <w:proofErr w:type="spellStart"/>
            <w:r w:rsidRPr="00582310">
              <w:rPr>
                <w:rFonts w:ascii="Calibri" w:hAnsi="Calibri" w:cs="Calibri"/>
              </w:rPr>
              <w:t>Connect</w:t>
            </w:r>
            <w:proofErr w:type="spellEnd"/>
            <w:r w:rsidRPr="00582310">
              <w:rPr>
                <w:rFonts w:ascii="Calibri" w:hAnsi="Calibri" w:cs="Calibri"/>
              </w:rPr>
              <w:t xml:space="preserve"> Direct</w:t>
            </w:r>
          </w:p>
        </w:tc>
      </w:tr>
      <w:tr w:rsidR="008927D7" w:rsidRPr="00582310" w14:paraId="14FDCD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F2F2F2" w:fill="F2F2F2"/>
          </w:tcPr>
          <w:p w14:paraId="34EFFEAA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4</w:t>
            </w:r>
          </w:p>
        </w:tc>
        <w:tc>
          <w:tcPr>
            <w:tcW w:w="3000" w:type="dxa"/>
            <w:shd w:val="clear" w:color="F2F2F2" w:fill="F2F2F2"/>
          </w:tcPr>
          <w:p w14:paraId="76099D7D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88 reglas del autorizador</w:t>
            </w:r>
          </w:p>
        </w:tc>
        <w:tc>
          <w:tcPr>
            <w:tcW w:w="1800" w:type="dxa"/>
            <w:shd w:val="clear" w:color="F2F2F2" w:fill="F2F2F2"/>
          </w:tcPr>
          <w:p w14:paraId="69EBCD87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Solución</w:t>
            </w:r>
          </w:p>
        </w:tc>
        <w:tc>
          <w:tcPr>
            <w:tcW w:w="4160" w:type="dxa"/>
            <w:shd w:val="clear" w:color="F2F2F2" w:fill="F2F2F2"/>
          </w:tcPr>
          <w:p w14:paraId="16389D78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Caja / configuración (exclusivo R4)</w:t>
            </w:r>
          </w:p>
        </w:tc>
      </w:tr>
      <w:tr w:rsidR="008927D7" w:rsidRPr="00582310" w14:paraId="19E6A3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FFFFFF" w:fill="FFFFFF"/>
          </w:tcPr>
          <w:p w14:paraId="67CFD693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5</w:t>
            </w:r>
          </w:p>
        </w:tc>
        <w:tc>
          <w:tcPr>
            <w:tcW w:w="3000" w:type="dxa"/>
            <w:shd w:val="clear" w:color="FFFFFF" w:fill="FFFFFF"/>
          </w:tcPr>
          <w:p w14:paraId="2B67BB31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Diferimiento de transacciones (MSI)</w:t>
            </w:r>
          </w:p>
        </w:tc>
        <w:tc>
          <w:tcPr>
            <w:tcW w:w="1800" w:type="dxa"/>
            <w:shd w:val="clear" w:color="FFFFFF" w:fill="FFFFFF"/>
          </w:tcPr>
          <w:p w14:paraId="45850EF5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Solución</w:t>
            </w:r>
          </w:p>
        </w:tc>
        <w:tc>
          <w:tcPr>
            <w:tcW w:w="4160" w:type="dxa"/>
            <w:shd w:val="clear" w:color="FFFFFF" w:fill="FFFFFF"/>
          </w:tcPr>
          <w:p w14:paraId="1C9BA3C6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Caja / configuración (canal App en R5)</w:t>
            </w:r>
          </w:p>
        </w:tc>
      </w:tr>
      <w:tr w:rsidR="008927D7" w:rsidRPr="00582310" w14:paraId="067B0D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F2F2F2" w:fill="F2F2F2"/>
          </w:tcPr>
          <w:p w14:paraId="40190EF3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6</w:t>
            </w:r>
          </w:p>
        </w:tc>
        <w:tc>
          <w:tcPr>
            <w:tcW w:w="3000" w:type="dxa"/>
            <w:shd w:val="clear" w:color="F2F2F2" w:fill="F2F2F2"/>
          </w:tcPr>
          <w:p w14:paraId="1C5F6582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Disposición de efectivo desde App</w:t>
            </w:r>
          </w:p>
        </w:tc>
        <w:tc>
          <w:tcPr>
            <w:tcW w:w="1800" w:type="dxa"/>
            <w:shd w:val="clear" w:color="F2F2F2" w:fill="F2F2F2"/>
          </w:tcPr>
          <w:p w14:paraId="12C5EEEA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Integración</w:t>
            </w:r>
          </w:p>
        </w:tc>
        <w:tc>
          <w:tcPr>
            <w:tcW w:w="4160" w:type="dxa"/>
            <w:shd w:val="clear" w:color="F2F2F2" w:fill="F2F2F2"/>
          </w:tcPr>
          <w:p w14:paraId="4E6B53CF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 xml:space="preserve">API App ↔ </w:t>
            </w:r>
            <w:proofErr w:type="spellStart"/>
            <w:r w:rsidRPr="00582310">
              <w:rPr>
                <w:rFonts w:ascii="Calibri" w:hAnsi="Calibri" w:cs="Calibri"/>
              </w:rPr>
              <w:t>SmartVista</w:t>
            </w:r>
            <w:proofErr w:type="spellEnd"/>
          </w:p>
        </w:tc>
      </w:tr>
      <w:tr w:rsidR="008927D7" w:rsidRPr="00582310" w14:paraId="27A249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FFFFFF" w:fill="FFFFFF"/>
          </w:tcPr>
          <w:p w14:paraId="39AED347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7</w:t>
            </w:r>
          </w:p>
        </w:tc>
        <w:tc>
          <w:tcPr>
            <w:tcW w:w="3000" w:type="dxa"/>
            <w:shd w:val="clear" w:color="FFFFFF" w:fill="FFFFFF"/>
          </w:tcPr>
          <w:p w14:paraId="02EC2490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 xml:space="preserve">Generación de </w:t>
            </w:r>
            <w:proofErr w:type="spellStart"/>
            <w:r w:rsidRPr="00582310">
              <w:rPr>
                <w:rFonts w:ascii="Calibri" w:hAnsi="Calibri" w:cs="Calibri"/>
              </w:rPr>
              <w:t>info</w:t>
            </w:r>
            <w:proofErr w:type="spellEnd"/>
            <w:r w:rsidRPr="00582310">
              <w:rPr>
                <w:rFonts w:ascii="Calibri" w:hAnsi="Calibri" w:cs="Calibri"/>
              </w:rPr>
              <w:t xml:space="preserve"> para reportes regulatorios</w:t>
            </w:r>
          </w:p>
        </w:tc>
        <w:tc>
          <w:tcPr>
            <w:tcW w:w="1800" w:type="dxa"/>
            <w:shd w:val="clear" w:color="FFFFFF" w:fill="FFFFFF"/>
          </w:tcPr>
          <w:p w14:paraId="38434CA7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Integración</w:t>
            </w:r>
          </w:p>
        </w:tc>
        <w:tc>
          <w:tcPr>
            <w:tcW w:w="4160" w:type="dxa"/>
            <w:shd w:val="clear" w:color="FFFFFF" w:fill="FFFFFF"/>
          </w:tcPr>
          <w:p w14:paraId="08E0802F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 xml:space="preserve">Entrega en carpetas compartidas / data </w:t>
            </w:r>
            <w:proofErr w:type="spellStart"/>
            <w:r w:rsidRPr="00582310">
              <w:rPr>
                <w:rFonts w:ascii="Calibri" w:hAnsi="Calibri" w:cs="Calibri"/>
              </w:rPr>
              <w:t>warehouse</w:t>
            </w:r>
            <w:proofErr w:type="spellEnd"/>
          </w:p>
        </w:tc>
      </w:tr>
      <w:tr w:rsidR="008927D7" w:rsidRPr="00582310" w14:paraId="1810B4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F2F2F2" w:fill="F2F2F2"/>
          </w:tcPr>
          <w:p w14:paraId="17ED05E3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8</w:t>
            </w:r>
          </w:p>
        </w:tc>
        <w:tc>
          <w:tcPr>
            <w:tcW w:w="3000" w:type="dxa"/>
            <w:shd w:val="clear" w:color="F2F2F2" w:fill="F2F2F2"/>
          </w:tcPr>
          <w:p w14:paraId="7B079081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Cobranza</w:t>
            </w:r>
          </w:p>
        </w:tc>
        <w:tc>
          <w:tcPr>
            <w:tcW w:w="1800" w:type="dxa"/>
            <w:shd w:val="clear" w:color="F2F2F2" w:fill="F2F2F2"/>
          </w:tcPr>
          <w:p w14:paraId="6C3FAA29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>Integración</w:t>
            </w:r>
          </w:p>
        </w:tc>
        <w:tc>
          <w:tcPr>
            <w:tcW w:w="4160" w:type="dxa"/>
            <w:shd w:val="clear" w:color="F2F2F2" w:fill="F2F2F2"/>
          </w:tcPr>
          <w:p w14:paraId="616FC620" w14:textId="77777777" w:rsidR="008927D7" w:rsidRPr="00582310" w:rsidRDefault="00C0615B">
            <w:pPr>
              <w:spacing w:before="60" w:after="60"/>
              <w:rPr>
                <w:rFonts w:ascii="Calibri" w:hAnsi="Calibri" w:cs="Calibri"/>
              </w:rPr>
            </w:pPr>
            <w:r w:rsidRPr="00582310">
              <w:rPr>
                <w:rFonts w:ascii="Calibri" w:hAnsi="Calibri" w:cs="Calibri"/>
              </w:rPr>
              <w:t xml:space="preserve">Soporte — archivos y </w:t>
            </w:r>
            <w:proofErr w:type="spellStart"/>
            <w:r w:rsidRPr="00582310">
              <w:rPr>
                <w:rFonts w:ascii="Calibri" w:hAnsi="Calibri" w:cs="Calibri"/>
              </w:rPr>
              <w:t>APIs</w:t>
            </w:r>
            <w:proofErr w:type="spellEnd"/>
            <w:r w:rsidRPr="00582310">
              <w:rPr>
                <w:rFonts w:ascii="Calibri" w:hAnsi="Calibri" w:cs="Calibri"/>
              </w:rPr>
              <w:t xml:space="preserve"> habilitados para el equipo</w:t>
            </w:r>
          </w:p>
        </w:tc>
      </w:tr>
    </w:tbl>
    <w:p w14:paraId="53F2547B" w14:textId="77777777" w:rsidR="008927D7" w:rsidRPr="00582310" w:rsidRDefault="008927D7">
      <w:pPr>
        <w:spacing w:before="200"/>
        <w:rPr>
          <w:rFonts w:ascii="Calibri" w:hAnsi="Calibri" w:cs="Calibri"/>
        </w:rPr>
      </w:pPr>
    </w:p>
    <w:p w14:paraId="129FD7C4" w14:textId="77777777" w:rsidR="008927D7" w:rsidRPr="00582310" w:rsidRDefault="00C0615B">
      <w:pPr>
        <w:spacing w:before="160" w:after="60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  <w:color w:val="2E75B6"/>
        </w:rPr>
        <w:t>2.3 Metodología de reporte de avance</w:t>
      </w:r>
    </w:p>
    <w:p w14:paraId="204A9A38" w14:textId="6AE0084A" w:rsidR="00582310" w:rsidRDefault="00C0615B" w:rsidP="00582310">
      <w:pPr>
        <w:pStyle w:val="ListParagraph"/>
        <w:numPr>
          <w:ilvl w:val="0"/>
          <w:numId w:val="4"/>
        </w:numPr>
        <w:spacing w:before="70" w:after="70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 xml:space="preserve">El porcentaje de avance es objetivo, no subjetivo. </w:t>
      </w:r>
      <w:r w:rsidRPr="00582310">
        <w:rPr>
          <w:rFonts w:ascii="Calibri" w:hAnsi="Calibri" w:cs="Calibri"/>
        </w:rPr>
        <w:t xml:space="preserve">Se deriva directamente de las actividades registradas en el plan de trabajo consolidado del R4, desglosado por HU. El archivo está vivo y lo actualiza el equipo de </w:t>
      </w:r>
      <w:proofErr w:type="spellStart"/>
      <w:r w:rsidRPr="00582310">
        <w:rPr>
          <w:rFonts w:ascii="Calibri" w:hAnsi="Calibri" w:cs="Calibri"/>
        </w:rPr>
        <w:t>SmartVista</w:t>
      </w:r>
      <w:proofErr w:type="spellEnd"/>
      <w:r w:rsidRPr="00582310">
        <w:rPr>
          <w:rFonts w:ascii="Calibri" w:hAnsi="Calibri" w:cs="Calibri"/>
        </w:rPr>
        <w:t xml:space="preserve">. El estatus que se comunica en el </w:t>
      </w:r>
      <w:proofErr w:type="spellStart"/>
      <w:r w:rsidRPr="00582310">
        <w:rPr>
          <w:rFonts w:ascii="Calibri" w:hAnsi="Calibri" w:cs="Calibri"/>
        </w:rPr>
        <w:t>weekly</w:t>
      </w:r>
      <w:proofErr w:type="spellEnd"/>
      <w:r w:rsidRPr="00582310">
        <w:rPr>
          <w:rFonts w:ascii="Calibri" w:hAnsi="Calibri" w:cs="Calibri"/>
        </w:rPr>
        <w:t xml:space="preserve"> proviene de ese mismo archivo.</w:t>
      </w:r>
    </w:p>
    <w:p w14:paraId="66126372" w14:textId="377DEB46" w:rsidR="008927D7" w:rsidRPr="00582310" w:rsidRDefault="00C0615B" w:rsidP="00582310">
      <w:pPr>
        <w:pStyle w:val="ListParagraph"/>
        <w:numPr>
          <w:ilvl w:val="0"/>
          <w:numId w:val="4"/>
        </w:numPr>
        <w:spacing w:before="70" w:after="70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 xml:space="preserve">Oportunidad de mejora en la estructura del reporte semanal. </w:t>
      </w:r>
      <w:r w:rsidRPr="00582310">
        <w:rPr>
          <w:rFonts w:ascii="Calibri" w:hAnsi="Calibri" w:cs="Calibri"/>
        </w:rPr>
        <w:t xml:space="preserve">Pablo Lorenzo propuso enriquecer la </w:t>
      </w:r>
      <w:proofErr w:type="spellStart"/>
      <w:r w:rsidRPr="00582310">
        <w:rPr>
          <w:rFonts w:ascii="Calibri" w:hAnsi="Calibri" w:cs="Calibri"/>
        </w:rPr>
        <w:t>slide</w:t>
      </w:r>
      <w:proofErr w:type="spellEnd"/>
      <w:r w:rsidRPr="00582310">
        <w:rPr>
          <w:rFonts w:ascii="Calibri" w:hAnsi="Calibri" w:cs="Calibri"/>
        </w:rPr>
        <w:t xml:space="preserve"> de estatus del </w:t>
      </w:r>
      <w:proofErr w:type="spellStart"/>
      <w:r w:rsidRPr="00582310">
        <w:rPr>
          <w:rFonts w:ascii="Calibri" w:hAnsi="Calibri" w:cs="Calibri"/>
        </w:rPr>
        <w:t>weekly</w:t>
      </w:r>
      <w:proofErr w:type="spellEnd"/>
      <w:r w:rsidRPr="00582310">
        <w:rPr>
          <w:rFonts w:ascii="Calibri" w:hAnsi="Calibri" w:cs="Calibri"/>
        </w:rPr>
        <w:t xml:space="preserve"> con tres elementos adicionales: (1) logros conseguidos en la última semana, (2) principales actividades de la semana siguiente, y (3) gestión constante de riesgos e </w:t>
      </w:r>
      <w:proofErr w:type="spellStart"/>
      <w:r w:rsidRPr="00582310">
        <w:rPr>
          <w:rFonts w:ascii="Calibri" w:hAnsi="Calibri" w:cs="Calibri"/>
        </w:rPr>
        <w:t>issues</w:t>
      </w:r>
      <w:proofErr w:type="spellEnd"/>
      <w:r w:rsidRPr="00582310">
        <w:rPr>
          <w:rFonts w:ascii="Calibri" w:hAnsi="Calibri" w:cs="Calibri"/>
        </w:rPr>
        <w:t xml:space="preserve"> con una estructura consistente — mostrando los más críticos siempre, no solo cuando son nuevos, y señalando los nuevos con una referencia visual. El objetivo es que los riesgos no desaparezcan del radar tras su primera mención.</w:t>
      </w:r>
    </w:p>
    <w:p w14:paraId="6A7DE906" w14:textId="49C4CB53" w:rsidR="008927D7" w:rsidRPr="00582310" w:rsidRDefault="00C0615B" w:rsidP="00582310">
      <w:pPr>
        <w:pStyle w:val="ListParagraph"/>
        <w:numPr>
          <w:ilvl w:val="1"/>
          <w:numId w:val="6"/>
        </w:numPr>
        <w:spacing w:before="160" w:after="60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  <w:color w:val="2E75B6"/>
        </w:rPr>
        <w:t xml:space="preserve">Riesgos e </w:t>
      </w:r>
      <w:proofErr w:type="spellStart"/>
      <w:r w:rsidRPr="00582310">
        <w:rPr>
          <w:rFonts w:ascii="Calibri" w:hAnsi="Calibri" w:cs="Calibri"/>
          <w:b/>
          <w:bCs/>
          <w:color w:val="2E75B6"/>
        </w:rPr>
        <w:t>issues</w:t>
      </w:r>
      <w:proofErr w:type="spellEnd"/>
      <w:r w:rsidRPr="00582310">
        <w:rPr>
          <w:rFonts w:ascii="Calibri" w:hAnsi="Calibri" w:cs="Calibri"/>
          <w:b/>
          <w:bCs/>
          <w:color w:val="2E75B6"/>
        </w:rPr>
        <w:t xml:space="preserve"> identificados</w:t>
      </w:r>
    </w:p>
    <w:p w14:paraId="2CA51DE7" w14:textId="739A6E70" w:rsidR="00582310" w:rsidRPr="00582310" w:rsidRDefault="00C0615B" w:rsidP="00582310">
      <w:pPr>
        <w:pStyle w:val="ListParagraph"/>
        <w:numPr>
          <w:ilvl w:val="0"/>
          <w:numId w:val="5"/>
        </w:numPr>
        <w:spacing w:before="70" w:after="70"/>
        <w:ind w:left="709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>Arquitectura compleja con impacto en desempeño</w:t>
      </w:r>
      <w:r w:rsidRPr="00582310">
        <w:rPr>
          <w:rFonts w:ascii="Calibri" w:hAnsi="Calibri" w:cs="Calibri"/>
          <w:b/>
          <w:bCs/>
        </w:rPr>
        <w:t xml:space="preserve">. </w:t>
      </w:r>
      <w:r w:rsidRPr="00582310">
        <w:rPr>
          <w:rFonts w:ascii="Calibri" w:hAnsi="Calibri" w:cs="Calibri"/>
        </w:rPr>
        <w:t xml:space="preserve">Existe una capa intermedia entre el </w:t>
      </w:r>
      <w:proofErr w:type="spellStart"/>
      <w:r w:rsidRPr="00582310">
        <w:rPr>
          <w:rFonts w:ascii="Calibri" w:hAnsi="Calibri" w:cs="Calibri"/>
        </w:rPr>
        <w:t>core</w:t>
      </w:r>
      <w:proofErr w:type="spellEnd"/>
      <w:r w:rsidRPr="00582310">
        <w:rPr>
          <w:rFonts w:ascii="Calibri" w:hAnsi="Calibri" w:cs="Calibri"/>
        </w:rPr>
        <w:t xml:space="preserve"> bancario central y los </w:t>
      </w:r>
      <w:proofErr w:type="gramStart"/>
      <w:r w:rsidRPr="00582310">
        <w:rPr>
          <w:rFonts w:ascii="Calibri" w:hAnsi="Calibri" w:cs="Calibri"/>
        </w:rPr>
        <w:t>canales compuesta</w:t>
      </w:r>
      <w:proofErr w:type="gramEnd"/>
      <w:r w:rsidRPr="00582310">
        <w:rPr>
          <w:rFonts w:ascii="Calibri" w:hAnsi="Calibri" w:cs="Calibri"/>
        </w:rPr>
        <w:t xml:space="preserve"> por múltiples </w:t>
      </w:r>
      <w:proofErr w:type="spellStart"/>
      <w:r w:rsidRPr="00582310">
        <w:rPr>
          <w:rFonts w:ascii="Calibri" w:hAnsi="Calibri" w:cs="Calibri"/>
        </w:rPr>
        <w:t>APIs</w:t>
      </w:r>
      <w:proofErr w:type="spellEnd"/>
      <w:r w:rsidRPr="00582310">
        <w:rPr>
          <w:rFonts w:ascii="Calibri" w:hAnsi="Calibri" w:cs="Calibri"/>
        </w:rPr>
        <w:t xml:space="preserve"> y </w:t>
      </w:r>
      <w:proofErr w:type="spellStart"/>
      <w:r w:rsidRPr="00582310">
        <w:rPr>
          <w:rFonts w:ascii="Calibri" w:hAnsi="Calibri" w:cs="Calibri"/>
        </w:rPr>
        <w:t>stored</w:t>
      </w:r>
      <w:proofErr w:type="spellEnd"/>
      <w:r w:rsidRPr="00582310">
        <w:rPr>
          <w:rFonts w:ascii="Calibri" w:hAnsi="Calibri" w:cs="Calibri"/>
        </w:rPr>
        <w:t xml:space="preserve"> </w:t>
      </w:r>
      <w:proofErr w:type="spellStart"/>
      <w:r w:rsidRPr="00582310">
        <w:rPr>
          <w:rFonts w:ascii="Calibri" w:hAnsi="Calibri" w:cs="Calibri"/>
        </w:rPr>
        <w:t>procedures</w:t>
      </w:r>
      <w:proofErr w:type="spellEnd"/>
      <w:r w:rsidRPr="00582310">
        <w:rPr>
          <w:rFonts w:ascii="Calibri" w:hAnsi="Calibri" w:cs="Calibri"/>
        </w:rPr>
        <w:t xml:space="preserve">. Cada canal ha adaptado las </w:t>
      </w:r>
      <w:proofErr w:type="spellStart"/>
      <w:r w:rsidRPr="00582310">
        <w:rPr>
          <w:rFonts w:ascii="Calibri" w:hAnsi="Calibri" w:cs="Calibri"/>
        </w:rPr>
        <w:t>APIs</w:t>
      </w:r>
      <w:proofErr w:type="spellEnd"/>
      <w:r w:rsidRPr="00582310">
        <w:rPr>
          <w:rFonts w:ascii="Calibri" w:hAnsi="Calibri" w:cs="Calibri"/>
        </w:rPr>
        <w:t xml:space="preserve"> a sus propios procesos, rompiendo el estándar de un único servicio por función. Resultado: hoy existen dos o tres </w:t>
      </w:r>
      <w:proofErr w:type="spellStart"/>
      <w:r w:rsidRPr="00582310">
        <w:rPr>
          <w:rFonts w:ascii="Calibri" w:hAnsi="Calibri" w:cs="Calibri"/>
        </w:rPr>
        <w:t>APIs</w:t>
      </w:r>
      <w:proofErr w:type="spellEnd"/>
      <w:r w:rsidRPr="00582310">
        <w:rPr>
          <w:rFonts w:ascii="Calibri" w:hAnsi="Calibri" w:cs="Calibri"/>
        </w:rPr>
        <w:t xml:space="preserve"> distintas atendiendo el mismo proceso (ej. pagos) de manera diferente por canal. Un cambio regulatorio en el proceso de pago requiere modificar múltiples </w:t>
      </w:r>
      <w:proofErr w:type="spellStart"/>
      <w:r w:rsidRPr="00582310">
        <w:rPr>
          <w:rFonts w:ascii="Calibri" w:hAnsi="Calibri" w:cs="Calibri"/>
        </w:rPr>
        <w:t>APIs</w:t>
      </w:r>
      <w:proofErr w:type="spellEnd"/>
      <w:r w:rsidRPr="00582310">
        <w:rPr>
          <w:rFonts w:ascii="Calibri" w:hAnsi="Calibri" w:cs="Calibri"/>
        </w:rPr>
        <w:t xml:space="preserve"> en paralelo, no una sola. Esta fragmentación es la causa raíz de varios problema</w:t>
      </w:r>
      <w:r w:rsidRPr="00582310">
        <w:rPr>
          <w:rFonts w:ascii="Calibri" w:hAnsi="Calibri" w:cs="Calibri"/>
        </w:rPr>
        <w:t>s de latencia y consistencia que se han observado en producción.</w:t>
      </w:r>
    </w:p>
    <w:p w14:paraId="257AD06B" w14:textId="068BA92A" w:rsidR="00582310" w:rsidRPr="00582310" w:rsidRDefault="00C0615B" w:rsidP="00582310">
      <w:pPr>
        <w:pStyle w:val="ListParagraph"/>
        <w:numPr>
          <w:ilvl w:val="0"/>
          <w:numId w:val="5"/>
        </w:numPr>
        <w:spacing w:before="70" w:after="70"/>
        <w:ind w:left="709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 xml:space="preserve">Latencia en App — </w:t>
      </w:r>
      <w:proofErr w:type="spellStart"/>
      <w:r w:rsidRPr="00582310">
        <w:rPr>
          <w:rFonts w:ascii="Calibri" w:hAnsi="Calibri" w:cs="Calibri"/>
          <w:b/>
          <w:bCs/>
        </w:rPr>
        <w:t>timeout</w:t>
      </w:r>
      <w:proofErr w:type="spellEnd"/>
      <w:r w:rsidRPr="00582310">
        <w:rPr>
          <w:rFonts w:ascii="Calibri" w:hAnsi="Calibri" w:cs="Calibri"/>
          <w:b/>
          <w:bCs/>
        </w:rPr>
        <w:t xml:space="preserve">. </w:t>
      </w:r>
      <w:r w:rsidRPr="00582310">
        <w:rPr>
          <w:rFonts w:ascii="Calibri" w:hAnsi="Calibri" w:cs="Calibri"/>
        </w:rPr>
        <w:t xml:space="preserve">Procesos de tarjeta que superan 10 segundos generan errores de </w:t>
      </w:r>
      <w:proofErr w:type="spellStart"/>
      <w:r w:rsidRPr="00582310">
        <w:rPr>
          <w:rFonts w:ascii="Calibri" w:hAnsi="Calibri" w:cs="Calibri"/>
        </w:rPr>
        <w:t>timeout</w:t>
      </w:r>
      <w:proofErr w:type="spellEnd"/>
      <w:r w:rsidRPr="00582310">
        <w:rPr>
          <w:rFonts w:ascii="Calibri" w:hAnsi="Calibri" w:cs="Calibri"/>
        </w:rPr>
        <w:t xml:space="preserve"> en la </w:t>
      </w:r>
      <w:proofErr w:type="gramStart"/>
      <w:r w:rsidRPr="00582310">
        <w:rPr>
          <w:rFonts w:ascii="Calibri" w:hAnsi="Calibri" w:cs="Calibri"/>
        </w:rPr>
        <w:t>app</w:t>
      </w:r>
      <w:proofErr w:type="gramEnd"/>
      <w:r w:rsidRPr="00582310">
        <w:rPr>
          <w:rFonts w:ascii="Calibri" w:hAnsi="Calibri" w:cs="Calibri"/>
        </w:rPr>
        <w:t xml:space="preserve">. Por encima de 20 segundos el cliente recibe una pantalla de error directamente. Impacto directo en la experiencia del cliente. Identificado en el </w:t>
      </w:r>
      <w:proofErr w:type="spellStart"/>
      <w:r w:rsidRPr="00582310">
        <w:rPr>
          <w:rFonts w:ascii="Calibri" w:hAnsi="Calibri" w:cs="Calibri"/>
        </w:rPr>
        <w:t>due</w:t>
      </w:r>
      <w:proofErr w:type="spellEnd"/>
      <w:r w:rsidRPr="00582310">
        <w:rPr>
          <w:rFonts w:ascii="Calibri" w:hAnsi="Calibri" w:cs="Calibri"/>
        </w:rPr>
        <w:t xml:space="preserve"> </w:t>
      </w:r>
      <w:proofErr w:type="spellStart"/>
      <w:r w:rsidRPr="00582310">
        <w:rPr>
          <w:rFonts w:ascii="Calibri" w:hAnsi="Calibri" w:cs="Calibri"/>
        </w:rPr>
        <w:t>diligence</w:t>
      </w:r>
      <w:proofErr w:type="spellEnd"/>
      <w:r w:rsidRPr="00582310">
        <w:rPr>
          <w:rFonts w:ascii="Calibri" w:hAnsi="Calibri" w:cs="Calibri"/>
        </w:rPr>
        <w:t xml:space="preserve">; el equipo de </w:t>
      </w:r>
      <w:proofErr w:type="spellStart"/>
      <w:r w:rsidRPr="00582310">
        <w:rPr>
          <w:rFonts w:ascii="Calibri" w:hAnsi="Calibri" w:cs="Calibri"/>
        </w:rPr>
        <w:t>Apificación</w:t>
      </w:r>
      <w:proofErr w:type="spellEnd"/>
      <w:r w:rsidRPr="00582310">
        <w:rPr>
          <w:rFonts w:ascii="Calibri" w:hAnsi="Calibri" w:cs="Calibri"/>
        </w:rPr>
        <w:t xml:space="preserve"> realizó </w:t>
      </w:r>
      <w:proofErr w:type="gramStart"/>
      <w:r w:rsidRPr="00582310">
        <w:rPr>
          <w:rFonts w:ascii="Calibri" w:hAnsi="Calibri" w:cs="Calibri"/>
        </w:rPr>
        <w:t>mejoras</w:t>
      </w:r>
      <w:proofErr w:type="gramEnd"/>
      <w:r w:rsidRPr="00582310">
        <w:rPr>
          <w:rFonts w:ascii="Calibri" w:hAnsi="Calibri" w:cs="Calibri"/>
        </w:rPr>
        <w:t xml:space="preserve"> pero no se ha confirmado si fueron llevadas a producción.</w:t>
      </w:r>
    </w:p>
    <w:p w14:paraId="3D845A80" w14:textId="146FA527" w:rsidR="008927D7" w:rsidRPr="00582310" w:rsidRDefault="00C0615B" w:rsidP="00582310">
      <w:pPr>
        <w:pStyle w:val="ListParagraph"/>
        <w:numPr>
          <w:ilvl w:val="0"/>
          <w:numId w:val="5"/>
        </w:numPr>
        <w:spacing w:before="70" w:after="70"/>
        <w:ind w:left="709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>Cronograma agresivo con riesgo en fase de pruebas</w:t>
      </w:r>
      <w:r w:rsidR="00582310" w:rsidRPr="00582310">
        <w:rPr>
          <w:rFonts w:ascii="Calibri" w:hAnsi="Calibri" w:cs="Calibri"/>
          <w:b/>
          <w:bCs/>
        </w:rPr>
        <w:t>.</w:t>
      </w:r>
      <w:r w:rsidR="00582310" w:rsidRPr="00582310">
        <w:rPr>
          <w:rFonts w:ascii="Calibri" w:hAnsi="Calibri" w:cs="Calibri"/>
        </w:rPr>
        <w:t xml:space="preserve"> </w:t>
      </w:r>
      <w:r w:rsidRPr="00582310">
        <w:rPr>
          <w:rFonts w:ascii="Calibri" w:hAnsi="Calibri" w:cs="Calibri"/>
        </w:rPr>
        <w:t xml:space="preserve">El plan de entrega del R4 a producción en pocos meses implica que las pruebas serán muy ajustadas en tiempo. El riesgo es que la fase de QA sea insuficiente para cubrir la complejidad del producto y que haya incidentes </w:t>
      </w:r>
      <w:proofErr w:type="spellStart"/>
      <w:r w:rsidRPr="00582310">
        <w:rPr>
          <w:rFonts w:ascii="Calibri" w:hAnsi="Calibri" w:cs="Calibri"/>
        </w:rPr>
        <w:t>post-productivos</w:t>
      </w:r>
      <w:proofErr w:type="spellEnd"/>
      <w:r w:rsidRPr="00582310">
        <w:rPr>
          <w:rFonts w:ascii="Calibri" w:hAnsi="Calibri" w:cs="Calibri"/>
        </w:rPr>
        <w:t xml:space="preserve"> significativos. La experiencia de R2 y R3 mitiga parcialmente este riesgo.</w:t>
      </w:r>
    </w:p>
    <w:p w14:paraId="1990BAB7" w14:textId="77777777" w:rsidR="008927D7" w:rsidRPr="00582310" w:rsidRDefault="00C0615B">
      <w:pPr>
        <w:shd w:val="clear" w:color="1F3864" w:fill="1F3864"/>
        <w:spacing w:before="200" w:after="100"/>
        <w:ind w:left="100"/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  <w:color w:val="FFFFFF"/>
          <w:sz w:val="22"/>
          <w:szCs w:val="22"/>
        </w:rPr>
        <w:lastRenderedPageBreak/>
        <w:t>3. Acciones</w:t>
      </w:r>
    </w:p>
    <w:p w14:paraId="15D11AD0" w14:textId="77777777" w:rsidR="00582310" w:rsidRPr="00582310" w:rsidRDefault="00582310" w:rsidP="00582310">
      <w:pPr>
        <w:numPr>
          <w:ilvl w:val="0"/>
          <w:numId w:val="7"/>
        </w:numPr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>José Jaimes Ortiz:</w:t>
      </w:r>
      <w:r w:rsidRPr="00582310">
        <w:rPr>
          <w:rFonts w:ascii="Calibri" w:hAnsi="Calibri" w:cs="Calibri"/>
        </w:rPr>
        <w:t xml:space="preserve"> Si se identifican riesgos e </w:t>
      </w:r>
      <w:proofErr w:type="spellStart"/>
      <w:r w:rsidRPr="00582310">
        <w:rPr>
          <w:rFonts w:ascii="Calibri" w:hAnsi="Calibri" w:cs="Calibri"/>
        </w:rPr>
        <w:t>issues</w:t>
      </w:r>
      <w:proofErr w:type="spellEnd"/>
      <w:r w:rsidRPr="00582310">
        <w:rPr>
          <w:rFonts w:ascii="Calibri" w:hAnsi="Calibri" w:cs="Calibri"/>
        </w:rPr>
        <w:t xml:space="preserve"> adicionales del </w:t>
      </w:r>
      <w:proofErr w:type="spellStart"/>
      <w:r w:rsidRPr="00582310">
        <w:rPr>
          <w:rFonts w:ascii="Calibri" w:hAnsi="Calibri" w:cs="Calibri"/>
        </w:rPr>
        <w:t>track</w:t>
      </w:r>
      <w:proofErr w:type="spellEnd"/>
      <w:r w:rsidRPr="00582310">
        <w:rPr>
          <w:rFonts w:ascii="Calibri" w:hAnsi="Calibri" w:cs="Calibri"/>
        </w:rPr>
        <w:t xml:space="preserve"> compartirlos con Ana Cervantes o Pablo Lorenzo para incorporarlos al RAID R4.</w:t>
      </w:r>
    </w:p>
    <w:p w14:paraId="11FE5922" w14:textId="77777777" w:rsidR="00582310" w:rsidRPr="00582310" w:rsidRDefault="00582310" w:rsidP="00582310">
      <w:pPr>
        <w:numPr>
          <w:ilvl w:val="0"/>
          <w:numId w:val="7"/>
        </w:numPr>
        <w:rPr>
          <w:rFonts w:ascii="Calibri" w:hAnsi="Calibri" w:cs="Calibri"/>
        </w:rPr>
      </w:pPr>
      <w:r w:rsidRPr="00582310">
        <w:rPr>
          <w:rFonts w:ascii="Calibri" w:hAnsi="Calibri" w:cs="Calibri"/>
          <w:b/>
          <w:bCs/>
        </w:rPr>
        <w:t>Pablo Lorenzo / Ana Cervantes:</w:t>
      </w:r>
      <w:r w:rsidRPr="00582310">
        <w:rPr>
          <w:rFonts w:ascii="Calibri" w:hAnsi="Calibri" w:cs="Calibri"/>
        </w:rPr>
        <w:t> Incorporar los comentarios de José Jaimes en el análisis de posibles remediaciones de Alcance, Reporte de avance y RAID.</w:t>
      </w:r>
    </w:p>
    <w:p w14:paraId="26E179B5" w14:textId="77777777" w:rsidR="00C0615B" w:rsidRPr="00582310" w:rsidRDefault="00C0615B">
      <w:pPr>
        <w:rPr>
          <w:rFonts w:ascii="Calibri" w:hAnsi="Calibri" w:cs="Calibri"/>
        </w:rPr>
      </w:pPr>
    </w:p>
    <w:sectPr w:rsidR="00C0615B" w:rsidRPr="005823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820"/>
    <w:multiLevelType w:val="multilevel"/>
    <w:tmpl w:val="5546C7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2E75B6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color w:val="2E75B6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/>
        <w:color w:val="2E75B6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  <w:b/>
        <w:color w:val="2E75B6"/>
      </w:rPr>
    </w:lvl>
    <w:lvl w:ilvl="4">
      <w:start w:val="1"/>
      <w:numFmt w:val="decimal"/>
      <w:lvlText w:val="%1.%2.%3.%4.%5"/>
      <w:lvlJc w:val="left"/>
      <w:pPr>
        <w:ind w:left="1288" w:hanging="720"/>
      </w:pPr>
      <w:rPr>
        <w:rFonts w:hint="default"/>
        <w:b/>
        <w:color w:val="2E75B6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  <w:b/>
        <w:color w:val="2E75B6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  <w:b/>
        <w:color w:val="2E75B6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  <w:b/>
        <w:color w:val="2E75B6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  <w:b/>
        <w:color w:val="2E75B6"/>
      </w:rPr>
    </w:lvl>
  </w:abstractNum>
  <w:abstractNum w:abstractNumId="1" w15:restartNumberingAfterBreak="0">
    <w:nsid w:val="089C00AA"/>
    <w:multiLevelType w:val="multilevel"/>
    <w:tmpl w:val="576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FE5F76"/>
    <w:multiLevelType w:val="hybridMultilevel"/>
    <w:tmpl w:val="4B9AE84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1">
      <w:start w:val="1"/>
      <w:numFmt w:val="decimal"/>
      <w:lvlText w:val="%2)"/>
      <w:lvlJc w:val="left"/>
      <w:pPr>
        <w:ind w:left="1800" w:hanging="360"/>
      </w:p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AC3DBE"/>
    <w:multiLevelType w:val="multilevel"/>
    <w:tmpl w:val="AF88A3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2E75B6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  <w:color w:val="2E75B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2E75B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2E75B6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color w:val="2E75B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2E75B6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color w:val="2E75B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2E75B6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color w:val="2E75B6"/>
      </w:rPr>
    </w:lvl>
  </w:abstractNum>
  <w:abstractNum w:abstractNumId="4" w15:restartNumberingAfterBreak="0">
    <w:nsid w:val="3AB86634"/>
    <w:multiLevelType w:val="hybridMultilevel"/>
    <w:tmpl w:val="6EB0C522"/>
    <w:lvl w:ilvl="0" w:tplc="24D420A4">
      <w:start w:val="1"/>
      <w:numFmt w:val="bullet"/>
      <w:lvlText w:val="●"/>
      <w:lvlJc w:val="left"/>
      <w:pPr>
        <w:ind w:left="720" w:hanging="360"/>
      </w:pPr>
    </w:lvl>
    <w:lvl w:ilvl="1" w:tplc="A39C3956">
      <w:start w:val="1"/>
      <w:numFmt w:val="bullet"/>
      <w:lvlText w:val="○"/>
      <w:lvlJc w:val="left"/>
      <w:pPr>
        <w:ind w:left="1440" w:hanging="360"/>
      </w:pPr>
    </w:lvl>
    <w:lvl w:ilvl="2" w:tplc="1FE27F7A">
      <w:start w:val="1"/>
      <w:numFmt w:val="bullet"/>
      <w:lvlText w:val="■"/>
      <w:lvlJc w:val="left"/>
      <w:pPr>
        <w:ind w:left="2160" w:hanging="360"/>
      </w:pPr>
    </w:lvl>
    <w:lvl w:ilvl="3" w:tplc="0A6C407C">
      <w:start w:val="1"/>
      <w:numFmt w:val="bullet"/>
      <w:lvlText w:val="●"/>
      <w:lvlJc w:val="left"/>
      <w:pPr>
        <w:ind w:left="2880" w:hanging="360"/>
      </w:pPr>
    </w:lvl>
    <w:lvl w:ilvl="4" w:tplc="3746E556">
      <w:start w:val="1"/>
      <w:numFmt w:val="bullet"/>
      <w:lvlText w:val="○"/>
      <w:lvlJc w:val="left"/>
      <w:pPr>
        <w:ind w:left="3600" w:hanging="360"/>
      </w:pPr>
    </w:lvl>
    <w:lvl w:ilvl="5" w:tplc="B0A2B62E">
      <w:start w:val="1"/>
      <w:numFmt w:val="bullet"/>
      <w:lvlText w:val="■"/>
      <w:lvlJc w:val="left"/>
      <w:pPr>
        <w:ind w:left="4320" w:hanging="360"/>
      </w:pPr>
    </w:lvl>
    <w:lvl w:ilvl="6" w:tplc="B63221E8">
      <w:start w:val="1"/>
      <w:numFmt w:val="bullet"/>
      <w:lvlText w:val="●"/>
      <w:lvlJc w:val="left"/>
      <w:pPr>
        <w:ind w:left="5040" w:hanging="360"/>
      </w:pPr>
    </w:lvl>
    <w:lvl w:ilvl="7" w:tplc="40102362">
      <w:start w:val="1"/>
      <w:numFmt w:val="bullet"/>
      <w:lvlText w:val="●"/>
      <w:lvlJc w:val="left"/>
      <w:pPr>
        <w:ind w:left="5760" w:hanging="360"/>
      </w:pPr>
    </w:lvl>
    <w:lvl w:ilvl="8" w:tplc="BEE4AEE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2BF4AB9"/>
    <w:multiLevelType w:val="hybridMultilevel"/>
    <w:tmpl w:val="9D5A27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D41E25"/>
    <w:multiLevelType w:val="hybridMultilevel"/>
    <w:tmpl w:val="4CD645C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6900075">
    <w:abstractNumId w:val="4"/>
    <w:lvlOverride w:ilvl="0">
      <w:startOverride w:val="1"/>
    </w:lvlOverride>
  </w:num>
  <w:num w:numId="2" w16cid:durableId="1364016199">
    <w:abstractNumId w:val="2"/>
  </w:num>
  <w:num w:numId="3" w16cid:durableId="1181703896">
    <w:abstractNumId w:val="0"/>
  </w:num>
  <w:num w:numId="4" w16cid:durableId="1963073976">
    <w:abstractNumId w:val="5"/>
  </w:num>
  <w:num w:numId="5" w16cid:durableId="877938468">
    <w:abstractNumId w:val="6"/>
  </w:num>
  <w:num w:numId="6" w16cid:durableId="1145780671">
    <w:abstractNumId w:val="3"/>
  </w:num>
  <w:num w:numId="7" w16cid:durableId="772749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7D7"/>
    <w:rsid w:val="003A281D"/>
    <w:rsid w:val="00582310"/>
    <w:rsid w:val="008927D7"/>
    <w:rsid w:val="00C0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AD67"/>
  <w15:docId w15:val="{04D015AC-9ADF-46C1-8C22-24D9D587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19C14E6CE42D4B977263D409F6C8DA" ma:contentTypeVersion="3" ma:contentTypeDescription="Crear nuevo documento." ma:contentTypeScope="" ma:versionID="2f4c844843fc0eaeefe441df60b3155f">
  <xsd:schema xmlns:xsd="http://www.w3.org/2001/XMLSchema" xmlns:xs="http://www.w3.org/2001/XMLSchema" xmlns:p="http://schemas.microsoft.com/office/2006/metadata/properties" xmlns:ns2="2e63f7ca-11da-434c-beda-f4aca14d09b4" targetNamespace="http://schemas.microsoft.com/office/2006/metadata/properties" ma:root="true" ma:fieldsID="060792bb7d35dfa6360dd3fbf1c23d8f" ns2:_="">
    <xsd:import namespace="2e63f7ca-11da-434c-beda-f4aca14d0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3f7ca-11da-434c-beda-f4aca14d0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F5C9F9-54CF-4FE6-BC40-A1105C995977}"/>
</file>

<file path=customXml/itemProps2.xml><?xml version="1.0" encoding="utf-8"?>
<ds:datastoreItem xmlns:ds="http://schemas.openxmlformats.org/officeDocument/2006/customXml" ds:itemID="{6BAD066E-C6B4-4A8C-88A0-67D65919EF85}"/>
</file>

<file path=customXml/itemProps3.xml><?xml version="1.0" encoding="utf-8"?>
<ds:datastoreItem xmlns:ds="http://schemas.openxmlformats.org/officeDocument/2006/customXml" ds:itemID="{EC9A4D0D-D703-4CFC-A39E-66BD1FE895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1087</Words>
  <Characters>5679</Characters>
  <Application>Microsoft Office Word</Application>
  <DocSecurity>0</DocSecurity>
  <Lines>126</Lines>
  <Paragraphs>73</Paragraphs>
  <ScaleCrop>false</ScaleCrop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Cervantes, Ana</cp:lastModifiedBy>
  <cp:revision>2</cp:revision>
  <dcterms:created xsi:type="dcterms:W3CDTF">2026-07-17T20:18:00Z</dcterms:created>
  <dcterms:modified xsi:type="dcterms:W3CDTF">2026-07-17T20:18:00Z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0x0101003E19C14E6CE42D4B977263D409F6C8DA</vt:lpwstr>
  </property>
</Properties>
</file>