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F69A" w14:textId="5CD0E3A6" w:rsidR="00B37443" w:rsidRPr="00AA202C" w:rsidRDefault="009532A2">
      <w:pPr>
        <w:shd w:val="clear" w:color="1F3864" w:fill="1F3864"/>
        <w:spacing w:before="200" w:after="100"/>
        <w:ind w:left="100" w:right="100"/>
        <w:jc w:val="center"/>
        <w:rPr>
          <w:rFonts w:ascii="Arial" w:hAnsi="Arial" w:cs="Arial"/>
        </w:rPr>
      </w:pPr>
      <w:r w:rsidRPr="00AA202C">
        <w:rPr>
          <w:rFonts w:ascii="Arial" w:hAnsi="Arial" w:cs="Arial"/>
          <w:b/>
          <w:bCs/>
          <w:color w:val="FFFFFF"/>
          <w:sz w:val="26"/>
          <w:szCs w:val="26"/>
        </w:rPr>
        <w:t>MINUTA</w:t>
      </w:r>
      <w:r w:rsidR="00D46840">
        <w:rPr>
          <w:rFonts w:ascii="Arial" w:hAnsi="Arial" w:cs="Arial"/>
          <w:b/>
          <w:bCs/>
          <w:color w:val="FFFFFF"/>
          <w:sz w:val="26"/>
          <w:szCs w:val="26"/>
        </w:rPr>
        <w:t xml:space="preserve"> </w:t>
      </w:r>
      <w:r w:rsidRPr="00AA202C">
        <w:rPr>
          <w:rFonts w:ascii="Arial" w:hAnsi="Arial" w:cs="Arial"/>
          <w:b/>
          <w:bCs/>
          <w:color w:val="FFFFFF"/>
          <w:sz w:val="26"/>
          <w:szCs w:val="26"/>
        </w:rPr>
        <w:t>— ALCANCE Y ROADMAP APP DIGITAL</w:t>
      </w:r>
    </w:p>
    <w:p w14:paraId="3D11104B" w14:textId="77777777" w:rsidR="00B37443" w:rsidRPr="00AA202C" w:rsidRDefault="009532A2">
      <w:pPr>
        <w:spacing w:before="80" w:after="300"/>
        <w:jc w:val="center"/>
        <w:rPr>
          <w:rFonts w:ascii="Arial" w:hAnsi="Arial" w:cs="Arial"/>
        </w:rPr>
      </w:pPr>
      <w:r w:rsidRPr="00AA202C">
        <w:rPr>
          <w:rFonts w:ascii="Arial" w:hAnsi="Arial" w:cs="Arial"/>
          <w:i/>
          <w:iCs/>
          <w:color w:val="2E75B6"/>
          <w:sz w:val="22"/>
          <w:szCs w:val="22"/>
        </w:rPr>
        <w:t>Programa Unity R4 | Acompañamiento Accenture | 23 de julio de 2026</w:t>
      </w:r>
    </w:p>
    <w:p w14:paraId="52AAD660" w14:textId="77777777" w:rsidR="00B37443" w:rsidRPr="00AA202C" w:rsidRDefault="009532A2">
      <w:pPr>
        <w:shd w:val="clear" w:color="1F3864" w:fill="1F3864"/>
        <w:spacing w:before="200" w:after="100"/>
        <w:ind w:left="100"/>
        <w:rPr>
          <w:rFonts w:ascii="Arial" w:hAnsi="Arial" w:cs="Arial"/>
        </w:rPr>
      </w:pPr>
      <w:r w:rsidRPr="00AA202C">
        <w:rPr>
          <w:rFonts w:ascii="Arial" w:hAnsi="Arial" w:cs="Arial"/>
          <w:b/>
          <w:bCs/>
          <w:color w:val="FFFFFF"/>
          <w:sz w:val="22"/>
          <w:szCs w:val="22"/>
        </w:rPr>
        <w:t>1. Contexto de la reunión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7443" w:rsidRPr="00AA202C" w14:paraId="4C847CF8" w14:textId="77777777">
        <w:tblPrEx>
          <w:tblCellMar>
            <w:top w:w="0" w:type="dxa"/>
            <w:bottom w:w="0" w:type="dxa"/>
          </w:tblCellMar>
        </w:tblPrEx>
        <w:tc>
          <w:tcPr>
            <w:tcW w:w="2000" w:type="dxa"/>
            <w:shd w:val="clear" w:color="D6E4F0" w:fill="D6E4F0"/>
          </w:tcPr>
          <w:p w14:paraId="7EEF13E3" w14:textId="77777777" w:rsidR="00B37443" w:rsidRPr="00AA202C" w:rsidRDefault="009532A2">
            <w:pPr>
              <w:rPr>
                <w:rFonts w:ascii="Arial" w:hAnsi="Arial" w:cs="Arial"/>
              </w:rPr>
            </w:pPr>
            <w:r w:rsidRPr="00AA202C">
              <w:rPr>
                <w:rFonts w:ascii="Arial" w:hAnsi="Arial" w:cs="Arial"/>
                <w:b/>
                <w:bCs/>
              </w:rPr>
              <w:t>Campo</w:t>
            </w:r>
          </w:p>
        </w:tc>
        <w:tc>
          <w:tcPr>
            <w:tcW w:w="7360" w:type="dxa"/>
            <w:shd w:val="clear" w:color="D6E4F0" w:fill="D6E4F0"/>
          </w:tcPr>
          <w:p w14:paraId="34DAE4B3" w14:textId="77777777" w:rsidR="00B37443" w:rsidRPr="00AA202C" w:rsidRDefault="009532A2">
            <w:pPr>
              <w:rPr>
                <w:rFonts w:ascii="Arial" w:hAnsi="Arial" w:cs="Arial"/>
              </w:rPr>
            </w:pPr>
            <w:r w:rsidRPr="00AA202C">
              <w:rPr>
                <w:rFonts w:ascii="Arial" w:hAnsi="Arial" w:cs="Arial"/>
                <w:b/>
                <w:bCs/>
              </w:rPr>
              <w:t>Detalle</w:t>
            </w:r>
          </w:p>
        </w:tc>
      </w:tr>
      <w:tr w:rsidR="00B37443" w:rsidRPr="00AA202C" w14:paraId="4CEAE564" w14:textId="77777777">
        <w:tblPrEx>
          <w:tblCellMar>
            <w:top w:w="0" w:type="dxa"/>
            <w:bottom w:w="0" w:type="dxa"/>
          </w:tblCellMar>
        </w:tblPrEx>
        <w:tc>
          <w:tcPr>
            <w:tcW w:w="2000" w:type="dxa"/>
            <w:shd w:val="clear" w:color="FFFFFF" w:fill="FFFFFF"/>
          </w:tcPr>
          <w:p w14:paraId="11BB1D0C" w14:textId="77777777" w:rsidR="00B37443" w:rsidRPr="00AA202C" w:rsidRDefault="009532A2">
            <w:pPr>
              <w:spacing w:before="60" w:after="60"/>
              <w:rPr>
                <w:rFonts w:ascii="Arial" w:hAnsi="Arial" w:cs="Arial"/>
              </w:rPr>
            </w:pPr>
            <w:r w:rsidRPr="00AA202C">
              <w:rPr>
                <w:rFonts w:ascii="Arial" w:hAnsi="Arial" w:cs="Arial"/>
              </w:rPr>
              <w:t>Fecha</w:t>
            </w:r>
          </w:p>
        </w:tc>
        <w:tc>
          <w:tcPr>
            <w:tcW w:w="7360" w:type="dxa"/>
            <w:shd w:val="clear" w:color="FFFFFF" w:fill="FFFFFF"/>
          </w:tcPr>
          <w:p w14:paraId="52561EDD" w14:textId="77777777" w:rsidR="00B37443" w:rsidRPr="00AA202C" w:rsidRDefault="009532A2">
            <w:pPr>
              <w:spacing w:before="60" w:after="60"/>
              <w:rPr>
                <w:rFonts w:ascii="Arial" w:hAnsi="Arial" w:cs="Arial"/>
              </w:rPr>
            </w:pPr>
            <w:r w:rsidRPr="00AA202C">
              <w:rPr>
                <w:rFonts w:ascii="Arial" w:hAnsi="Arial" w:cs="Arial"/>
              </w:rPr>
              <w:t>23 de julio de 2026</w:t>
            </w:r>
          </w:p>
        </w:tc>
      </w:tr>
      <w:tr w:rsidR="00B37443" w:rsidRPr="00AA202C" w14:paraId="2896F5E5" w14:textId="77777777">
        <w:tblPrEx>
          <w:tblCellMar>
            <w:top w:w="0" w:type="dxa"/>
            <w:bottom w:w="0" w:type="dxa"/>
          </w:tblCellMar>
        </w:tblPrEx>
        <w:tc>
          <w:tcPr>
            <w:tcW w:w="2000" w:type="dxa"/>
            <w:shd w:val="clear" w:color="F2F2F2" w:fill="F2F2F2"/>
          </w:tcPr>
          <w:p w14:paraId="6A6F16C0" w14:textId="77777777" w:rsidR="00B37443" w:rsidRPr="00AA202C" w:rsidRDefault="009532A2">
            <w:pPr>
              <w:spacing w:before="60" w:after="60"/>
              <w:rPr>
                <w:rFonts w:ascii="Arial" w:hAnsi="Arial" w:cs="Arial"/>
              </w:rPr>
            </w:pPr>
            <w:r w:rsidRPr="00AA202C">
              <w:rPr>
                <w:rFonts w:ascii="Arial" w:hAnsi="Arial" w:cs="Arial"/>
              </w:rPr>
              <w:t>Propósito</w:t>
            </w:r>
          </w:p>
        </w:tc>
        <w:tc>
          <w:tcPr>
            <w:tcW w:w="7360" w:type="dxa"/>
            <w:shd w:val="clear" w:color="F2F2F2" w:fill="F2F2F2"/>
          </w:tcPr>
          <w:p w14:paraId="42C8B365" w14:textId="77777777" w:rsidR="00B37443" w:rsidRPr="00AA202C" w:rsidRDefault="009532A2">
            <w:pPr>
              <w:spacing w:before="60" w:after="60"/>
              <w:rPr>
                <w:rFonts w:ascii="Arial" w:hAnsi="Arial" w:cs="Arial"/>
              </w:rPr>
            </w:pPr>
            <w:r w:rsidRPr="00AA202C">
              <w:rPr>
                <w:rFonts w:ascii="Arial" w:hAnsi="Arial" w:cs="Arial"/>
              </w:rPr>
              <w:t xml:space="preserve">Alineación de alcance y </w:t>
            </w:r>
            <w:proofErr w:type="spellStart"/>
            <w:r w:rsidRPr="00AA202C">
              <w:rPr>
                <w:rFonts w:ascii="Arial" w:hAnsi="Arial" w:cs="Arial"/>
              </w:rPr>
              <w:t>roadmap</w:t>
            </w:r>
            <w:proofErr w:type="spellEnd"/>
            <w:r w:rsidRPr="00AA202C">
              <w:rPr>
                <w:rFonts w:ascii="Arial" w:hAnsi="Arial" w:cs="Arial"/>
              </w:rPr>
              <w:t xml:space="preserve"> del </w:t>
            </w:r>
            <w:proofErr w:type="spellStart"/>
            <w:r w:rsidRPr="00AA202C">
              <w:rPr>
                <w:rFonts w:ascii="Arial" w:hAnsi="Arial" w:cs="Arial"/>
              </w:rPr>
              <w:t>track</w:t>
            </w:r>
            <w:proofErr w:type="spellEnd"/>
            <w:r w:rsidRPr="00AA202C">
              <w:rPr>
                <w:rFonts w:ascii="Arial" w:hAnsi="Arial" w:cs="Arial"/>
              </w:rPr>
              <w:t xml:space="preserve"> App Digital para el R4: estatus y metodología del alcance, desarrollo en bloques, estrategia de pruebas y riesgos del </w:t>
            </w:r>
            <w:proofErr w:type="spellStart"/>
            <w:r w:rsidRPr="00AA202C">
              <w:rPr>
                <w:rFonts w:ascii="Arial" w:hAnsi="Arial" w:cs="Arial"/>
              </w:rPr>
              <w:t>track</w:t>
            </w:r>
            <w:proofErr w:type="spellEnd"/>
            <w:r w:rsidRPr="00AA202C">
              <w:rPr>
                <w:rFonts w:ascii="Arial" w:hAnsi="Arial" w:cs="Arial"/>
              </w:rPr>
              <w:t>.</w:t>
            </w:r>
          </w:p>
        </w:tc>
      </w:tr>
      <w:tr w:rsidR="00B37443" w:rsidRPr="00AA202C" w14:paraId="0CB9885B" w14:textId="77777777">
        <w:tblPrEx>
          <w:tblCellMar>
            <w:top w:w="0" w:type="dxa"/>
            <w:bottom w:w="0" w:type="dxa"/>
          </w:tblCellMar>
        </w:tblPrEx>
        <w:tc>
          <w:tcPr>
            <w:tcW w:w="2000" w:type="dxa"/>
            <w:shd w:val="clear" w:color="FFFFFF" w:fill="FFFFFF"/>
          </w:tcPr>
          <w:p w14:paraId="4264219E" w14:textId="77777777" w:rsidR="00B37443" w:rsidRPr="00AA202C" w:rsidRDefault="009532A2">
            <w:pPr>
              <w:spacing w:before="60" w:after="60"/>
              <w:rPr>
                <w:rFonts w:ascii="Arial" w:hAnsi="Arial" w:cs="Arial"/>
              </w:rPr>
            </w:pPr>
            <w:r w:rsidRPr="00AA202C">
              <w:rPr>
                <w:rFonts w:ascii="Arial" w:hAnsi="Arial" w:cs="Arial"/>
              </w:rPr>
              <w:t>Participantes clave</w:t>
            </w:r>
          </w:p>
        </w:tc>
        <w:tc>
          <w:tcPr>
            <w:tcW w:w="7360" w:type="dxa"/>
            <w:shd w:val="clear" w:color="FFFFFF" w:fill="FFFFFF"/>
          </w:tcPr>
          <w:p w14:paraId="166A728F" w14:textId="77777777" w:rsidR="00B37443" w:rsidRPr="00AA202C" w:rsidRDefault="009532A2">
            <w:pPr>
              <w:spacing w:before="60" w:after="60"/>
              <w:rPr>
                <w:rFonts w:ascii="Arial" w:hAnsi="Arial" w:cs="Arial"/>
                <w:lang w:val="pt-BR"/>
              </w:rPr>
            </w:pPr>
            <w:r w:rsidRPr="00AA202C">
              <w:rPr>
                <w:rFonts w:ascii="Arial" w:hAnsi="Arial" w:cs="Arial"/>
                <w:lang w:val="pt-BR"/>
              </w:rPr>
              <w:t>Ana Cervantes (Accenture), Jessica Barajas, Diana Estrada</w:t>
            </w:r>
          </w:p>
        </w:tc>
      </w:tr>
    </w:tbl>
    <w:p w14:paraId="44B0CB92" w14:textId="77777777" w:rsidR="00B37443" w:rsidRPr="00AA202C" w:rsidRDefault="00B37443">
      <w:pPr>
        <w:spacing w:before="200"/>
        <w:rPr>
          <w:rFonts w:ascii="Arial" w:hAnsi="Arial" w:cs="Arial"/>
          <w:lang w:val="pt-BR"/>
        </w:rPr>
      </w:pPr>
    </w:p>
    <w:p w14:paraId="4D7E88F0" w14:textId="77777777" w:rsidR="00B37443" w:rsidRPr="00AA202C" w:rsidRDefault="009532A2">
      <w:pPr>
        <w:shd w:val="clear" w:color="1F3864" w:fill="1F3864"/>
        <w:spacing w:before="200" w:after="100"/>
        <w:ind w:left="100"/>
        <w:rPr>
          <w:rFonts w:ascii="Arial" w:hAnsi="Arial" w:cs="Arial"/>
        </w:rPr>
      </w:pPr>
      <w:r w:rsidRPr="00AA202C">
        <w:rPr>
          <w:rFonts w:ascii="Arial" w:hAnsi="Arial" w:cs="Arial"/>
          <w:b/>
          <w:bCs/>
          <w:color w:val="FFFFFF"/>
          <w:sz w:val="22"/>
          <w:szCs w:val="22"/>
        </w:rPr>
        <w:t>2. Conclusiones clave</w:t>
      </w:r>
    </w:p>
    <w:p w14:paraId="0A58446B" w14:textId="77777777" w:rsidR="00B37443" w:rsidRPr="00AA202C" w:rsidRDefault="009532A2" w:rsidP="00AA202C">
      <w:pPr>
        <w:spacing w:before="160" w:after="60"/>
        <w:ind w:left="142"/>
        <w:rPr>
          <w:rFonts w:ascii="Arial" w:hAnsi="Arial" w:cs="Arial"/>
        </w:rPr>
      </w:pPr>
      <w:r w:rsidRPr="00AA202C">
        <w:rPr>
          <w:rFonts w:ascii="Arial" w:hAnsi="Arial" w:cs="Arial"/>
          <w:b/>
          <w:bCs/>
          <w:color w:val="2E75B6"/>
        </w:rPr>
        <w:t>2.1 Metodología de análisis</w:t>
      </w:r>
    </w:p>
    <w:p w14:paraId="16CA9086" w14:textId="77777777" w:rsidR="00AA202C" w:rsidRDefault="009532A2" w:rsidP="00AA202C">
      <w:pPr>
        <w:pStyle w:val="ListParagraph"/>
        <w:numPr>
          <w:ilvl w:val="0"/>
          <w:numId w:val="3"/>
        </w:numPr>
        <w:spacing w:before="70" w:after="70"/>
        <w:rPr>
          <w:rFonts w:ascii="Arial" w:hAnsi="Arial" w:cs="Arial"/>
        </w:rPr>
      </w:pPr>
      <w:r w:rsidRPr="00AA202C">
        <w:rPr>
          <w:rFonts w:ascii="Arial" w:hAnsi="Arial" w:cs="Arial"/>
          <w:b/>
          <w:bCs/>
        </w:rPr>
        <w:t xml:space="preserve">DEF como punto de partida. </w:t>
      </w:r>
      <w:r w:rsidRPr="00AA202C">
        <w:rPr>
          <w:rFonts w:ascii="Arial" w:hAnsi="Arial" w:cs="Arial"/>
        </w:rPr>
        <w:t>El DEF define las HUs de alto nivel para todo el R4. El equipo de desarrollo las revisa con negocio y prioriza las que generan un entregable funcional y de valor para el cliente. El resultado es la lista de HUs en alcance, divididas en dos grupos según sus dependencias técnicas:</w:t>
      </w:r>
    </w:p>
    <w:p w14:paraId="3EF37E8C" w14:textId="1E4A844C" w:rsidR="00AA202C" w:rsidRDefault="009532A2" w:rsidP="00AA202C">
      <w:pPr>
        <w:pStyle w:val="ListParagraph"/>
        <w:numPr>
          <w:ilvl w:val="1"/>
          <w:numId w:val="3"/>
        </w:numPr>
        <w:spacing w:before="70" w:after="70"/>
        <w:rPr>
          <w:rFonts w:ascii="Arial" w:hAnsi="Arial" w:cs="Arial"/>
        </w:rPr>
      </w:pPr>
      <w:r w:rsidRPr="00AA202C">
        <w:rPr>
          <w:rFonts w:ascii="Arial" w:hAnsi="Arial" w:cs="Arial"/>
          <w:b/>
          <w:bCs/>
        </w:rPr>
        <w:t xml:space="preserve">HUs sin dependencia de </w:t>
      </w:r>
      <w:proofErr w:type="spellStart"/>
      <w:r w:rsidRPr="00AA202C">
        <w:rPr>
          <w:rFonts w:ascii="Arial" w:hAnsi="Arial" w:cs="Arial"/>
          <w:b/>
          <w:bCs/>
        </w:rPr>
        <w:t>DTMs</w:t>
      </w:r>
      <w:proofErr w:type="spellEnd"/>
      <w:r w:rsidRPr="00AA202C">
        <w:rPr>
          <w:rFonts w:ascii="Arial" w:hAnsi="Arial" w:cs="Arial"/>
          <w:b/>
          <w:bCs/>
        </w:rPr>
        <w:t xml:space="preserve">: </w:t>
      </w:r>
      <w:r w:rsidRPr="00AA202C">
        <w:rPr>
          <w:rFonts w:ascii="Arial" w:hAnsi="Arial" w:cs="Arial"/>
        </w:rPr>
        <w:t xml:space="preserve">su único insumo es el </w:t>
      </w:r>
      <w:proofErr w:type="spellStart"/>
      <w:r w:rsidRPr="00AA202C">
        <w:rPr>
          <w:rFonts w:ascii="Arial" w:hAnsi="Arial" w:cs="Arial"/>
        </w:rPr>
        <w:t>Figma</w:t>
      </w:r>
      <w:proofErr w:type="spellEnd"/>
      <w:r w:rsidRPr="00AA202C">
        <w:rPr>
          <w:rFonts w:ascii="Arial" w:hAnsi="Arial" w:cs="Arial"/>
        </w:rPr>
        <w:t xml:space="preserve">, que se solicita directamente al equipo de CX. </w:t>
      </w:r>
      <w:r w:rsidRPr="00AA202C">
        <w:rPr>
          <w:rFonts w:ascii="Arial" w:hAnsi="Arial" w:cs="Arial"/>
        </w:rPr>
        <w:t>Son las historias que pueden avanzar de forma independiente y generar valor al cliente más rápido.</w:t>
      </w:r>
    </w:p>
    <w:p w14:paraId="4D2F6E5F" w14:textId="74CDE6E7" w:rsidR="00B37443" w:rsidRPr="00AA202C" w:rsidRDefault="009532A2" w:rsidP="00AA202C">
      <w:pPr>
        <w:pStyle w:val="ListParagraph"/>
        <w:numPr>
          <w:ilvl w:val="1"/>
          <w:numId w:val="3"/>
        </w:numPr>
        <w:spacing w:before="70" w:after="70"/>
        <w:rPr>
          <w:rFonts w:ascii="Arial" w:hAnsi="Arial" w:cs="Arial"/>
        </w:rPr>
      </w:pPr>
      <w:r w:rsidRPr="00AA202C">
        <w:rPr>
          <w:rFonts w:ascii="Arial" w:hAnsi="Arial" w:cs="Arial"/>
          <w:b/>
          <w:bCs/>
        </w:rPr>
        <w:t xml:space="preserve">HUs con dependencia de </w:t>
      </w:r>
      <w:proofErr w:type="spellStart"/>
      <w:r w:rsidRPr="00AA202C">
        <w:rPr>
          <w:rFonts w:ascii="Arial" w:hAnsi="Arial" w:cs="Arial"/>
          <w:b/>
          <w:bCs/>
        </w:rPr>
        <w:t>DTMs</w:t>
      </w:r>
      <w:proofErr w:type="spellEnd"/>
      <w:r w:rsidRPr="00AA202C">
        <w:rPr>
          <w:rFonts w:ascii="Arial" w:hAnsi="Arial" w:cs="Arial"/>
          <w:b/>
          <w:bCs/>
        </w:rPr>
        <w:t xml:space="preserve">: </w:t>
      </w:r>
      <w:r w:rsidRPr="00AA202C">
        <w:rPr>
          <w:rFonts w:ascii="Arial" w:hAnsi="Arial" w:cs="Arial"/>
        </w:rPr>
        <w:t xml:space="preserve">corren el proceso completo de mesas de trabajo donde se revisan las necesidades de negocio y de canal para definir cómo deben consumirse las </w:t>
      </w:r>
      <w:proofErr w:type="spellStart"/>
      <w:r w:rsidRPr="00AA202C">
        <w:rPr>
          <w:rFonts w:ascii="Arial" w:hAnsi="Arial" w:cs="Arial"/>
        </w:rPr>
        <w:t>APIs</w:t>
      </w:r>
      <w:proofErr w:type="spellEnd"/>
      <w:r w:rsidRPr="00AA202C">
        <w:rPr>
          <w:rFonts w:ascii="Arial" w:hAnsi="Arial" w:cs="Arial"/>
        </w:rPr>
        <w:t xml:space="preserve">. Requieren coordinación con </w:t>
      </w:r>
      <w:proofErr w:type="spellStart"/>
      <w:r w:rsidRPr="00AA202C">
        <w:rPr>
          <w:rFonts w:ascii="Arial" w:hAnsi="Arial" w:cs="Arial"/>
        </w:rPr>
        <w:t>SmartVista</w:t>
      </w:r>
      <w:proofErr w:type="spellEnd"/>
      <w:r w:rsidRPr="00AA202C">
        <w:rPr>
          <w:rFonts w:ascii="Arial" w:hAnsi="Arial" w:cs="Arial"/>
        </w:rPr>
        <w:t xml:space="preserve"> y </w:t>
      </w:r>
      <w:proofErr w:type="spellStart"/>
      <w:r w:rsidRPr="00AA202C">
        <w:rPr>
          <w:rFonts w:ascii="Arial" w:hAnsi="Arial" w:cs="Arial"/>
        </w:rPr>
        <w:t>Apificación</w:t>
      </w:r>
      <w:proofErr w:type="spellEnd"/>
      <w:r w:rsidRPr="00AA202C">
        <w:rPr>
          <w:rFonts w:ascii="Arial" w:hAnsi="Arial" w:cs="Arial"/>
        </w:rPr>
        <w:t xml:space="preserve"> para cerrar el diseño técnico antes de iniciar el desarrollo.</w:t>
      </w:r>
    </w:p>
    <w:p w14:paraId="0EED7397" w14:textId="77777777" w:rsidR="00AA202C" w:rsidRDefault="009532A2" w:rsidP="00AA202C">
      <w:pPr>
        <w:pStyle w:val="ListParagraph"/>
        <w:numPr>
          <w:ilvl w:val="0"/>
          <w:numId w:val="3"/>
        </w:numPr>
        <w:spacing w:before="70" w:after="70"/>
        <w:rPr>
          <w:rFonts w:ascii="Arial" w:hAnsi="Arial" w:cs="Arial"/>
        </w:rPr>
      </w:pPr>
      <w:r w:rsidRPr="00AA202C">
        <w:rPr>
          <w:rFonts w:ascii="Arial" w:hAnsi="Arial" w:cs="Arial"/>
          <w:b/>
          <w:bCs/>
        </w:rPr>
        <w:t xml:space="preserve">Refinamiento en Jira con el Product Owner. </w:t>
      </w:r>
      <w:r w:rsidRPr="00AA202C">
        <w:rPr>
          <w:rFonts w:ascii="Arial" w:hAnsi="Arial" w:cs="Arial"/>
        </w:rPr>
        <w:t xml:space="preserve">Las HUs en alcance se refinan en Jira junto con el Product Owner, desgranando cada historia en </w:t>
      </w:r>
      <w:proofErr w:type="gramStart"/>
      <w:r w:rsidRPr="00AA202C">
        <w:rPr>
          <w:rFonts w:ascii="Arial" w:hAnsi="Arial" w:cs="Arial"/>
        </w:rPr>
        <w:t>tickets</w:t>
      </w:r>
      <w:proofErr w:type="gramEnd"/>
      <w:r w:rsidRPr="00AA202C">
        <w:rPr>
          <w:rFonts w:ascii="Arial" w:hAnsi="Arial" w:cs="Arial"/>
        </w:rPr>
        <w:t xml:space="preserve"> de desarrollo. Este refinamiento, combinado con las mesas de trabajo de </w:t>
      </w:r>
      <w:proofErr w:type="spellStart"/>
      <w:r w:rsidRPr="00AA202C">
        <w:rPr>
          <w:rFonts w:ascii="Arial" w:hAnsi="Arial" w:cs="Arial"/>
        </w:rPr>
        <w:t>DTMs</w:t>
      </w:r>
      <w:proofErr w:type="spellEnd"/>
      <w:r w:rsidRPr="00AA202C">
        <w:rPr>
          <w:rFonts w:ascii="Arial" w:hAnsi="Arial" w:cs="Arial"/>
        </w:rPr>
        <w:t xml:space="preserve"> y la entrega del </w:t>
      </w:r>
      <w:proofErr w:type="spellStart"/>
      <w:r w:rsidRPr="00AA202C">
        <w:rPr>
          <w:rFonts w:ascii="Arial" w:hAnsi="Arial" w:cs="Arial"/>
        </w:rPr>
        <w:t>Figma</w:t>
      </w:r>
      <w:proofErr w:type="spellEnd"/>
      <w:r w:rsidRPr="00AA202C">
        <w:rPr>
          <w:rFonts w:ascii="Arial" w:hAnsi="Arial" w:cs="Arial"/>
        </w:rPr>
        <w:t xml:space="preserve"> de CX, son los tres insumos necesarios para arrancar el desarrollo.</w:t>
      </w:r>
    </w:p>
    <w:p w14:paraId="273587AA" w14:textId="54FD6F53" w:rsidR="00B37443" w:rsidRPr="00AA202C" w:rsidRDefault="009532A2" w:rsidP="00AA202C">
      <w:pPr>
        <w:pStyle w:val="ListParagraph"/>
        <w:numPr>
          <w:ilvl w:val="0"/>
          <w:numId w:val="3"/>
        </w:numPr>
        <w:spacing w:before="70" w:after="70"/>
        <w:rPr>
          <w:rFonts w:ascii="Arial" w:hAnsi="Arial" w:cs="Arial"/>
        </w:rPr>
      </w:pPr>
      <w:r w:rsidRPr="00AA202C">
        <w:rPr>
          <w:rFonts w:ascii="Arial" w:hAnsi="Arial" w:cs="Arial"/>
          <w:b/>
          <w:bCs/>
        </w:rPr>
        <w:t xml:space="preserve">Dependencia crítica del </w:t>
      </w:r>
      <w:proofErr w:type="spellStart"/>
      <w:r w:rsidRPr="00AA202C">
        <w:rPr>
          <w:rFonts w:ascii="Arial" w:hAnsi="Arial" w:cs="Arial"/>
          <w:b/>
          <w:bCs/>
        </w:rPr>
        <w:t>Figma</w:t>
      </w:r>
      <w:proofErr w:type="spellEnd"/>
      <w:r w:rsidRPr="00AA202C">
        <w:rPr>
          <w:rFonts w:ascii="Arial" w:hAnsi="Arial" w:cs="Arial"/>
          <w:b/>
          <w:bCs/>
        </w:rPr>
        <w:t xml:space="preserve"> (equipo CX/DLS). </w:t>
      </w:r>
      <w:r w:rsidRPr="00AA202C">
        <w:rPr>
          <w:rFonts w:ascii="Arial" w:hAnsi="Arial" w:cs="Arial"/>
        </w:rPr>
        <w:t xml:space="preserve">El equipo de CX tiene los diseños en construcción desde septiembre de 2025. A pesar del tiempo transcurrido, la complejidad de los escenarios </w:t>
      </w:r>
      <w:r w:rsidRPr="00AA202C">
        <w:rPr>
          <w:rFonts w:ascii="Arial" w:hAnsi="Arial" w:cs="Arial"/>
        </w:rPr>
        <w:t xml:space="preserve">y los múltiples vistos buenos internos retrasaron significativamente la entrega. Las primeras 4 pantallas se entregaron el 14 de julio. La segunda parte está comprometida para el 29 de julio. Este retraso es una de las causas raíz del desface general del cronograma del </w:t>
      </w:r>
      <w:proofErr w:type="spellStart"/>
      <w:r w:rsidRPr="00AA202C">
        <w:rPr>
          <w:rFonts w:ascii="Arial" w:hAnsi="Arial" w:cs="Arial"/>
        </w:rPr>
        <w:t>track</w:t>
      </w:r>
      <w:proofErr w:type="spellEnd"/>
      <w:r w:rsidRPr="00AA202C">
        <w:rPr>
          <w:rFonts w:ascii="Arial" w:hAnsi="Arial" w:cs="Arial"/>
        </w:rPr>
        <w:t>.</w:t>
      </w:r>
    </w:p>
    <w:p w14:paraId="4BA23E01" w14:textId="1FEAA276" w:rsidR="00B37443" w:rsidRPr="00AA202C" w:rsidRDefault="009532A2" w:rsidP="00AA202C">
      <w:pPr>
        <w:pStyle w:val="ListParagraph"/>
        <w:numPr>
          <w:ilvl w:val="1"/>
          <w:numId w:val="5"/>
        </w:numPr>
        <w:spacing w:before="160" w:after="60"/>
        <w:rPr>
          <w:rFonts w:ascii="Arial" w:hAnsi="Arial" w:cs="Arial"/>
        </w:rPr>
      </w:pPr>
      <w:r w:rsidRPr="00AA202C">
        <w:rPr>
          <w:rFonts w:ascii="Arial" w:hAnsi="Arial" w:cs="Arial"/>
          <w:b/>
          <w:bCs/>
          <w:color w:val="2E75B6"/>
        </w:rPr>
        <w:t>Alcance: evolución de 13 a 10 HUs</w:t>
      </w:r>
    </w:p>
    <w:p w14:paraId="3EE3CBAA" w14:textId="77777777" w:rsidR="00AA202C" w:rsidRDefault="009532A2" w:rsidP="00AA202C">
      <w:pPr>
        <w:pStyle w:val="ListParagraph"/>
        <w:numPr>
          <w:ilvl w:val="0"/>
          <w:numId w:val="4"/>
        </w:numPr>
        <w:spacing w:before="70" w:after="70"/>
        <w:rPr>
          <w:rFonts w:ascii="Arial" w:hAnsi="Arial" w:cs="Arial"/>
        </w:rPr>
      </w:pPr>
      <w:r w:rsidRPr="00AA202C">
        <w:rPr>
          <w:rFonts w:ascii="Arial" w:hAnsi="Arial" w:cs="Arial"/>
          <w:b/>
          <w:bCs/>
        </w:rPr>
        <w:t xml:space="preserve">Primera reducción (13 → 8 HUs). </w:t>
      </w:r>
      <w:r w:rsidRPr="00AA202C">
        <w:rPr>
          <w:rFonts w:ascii="Arial" w:hAnsi="Arial" w:cs="Arial"/>
        </w:rPr>
        <w:t xml:space="preserve">Las 13 HUs originales se analizaron en conjunto con </w:t>
      </w:r>
      <w:proofErr w:type="spellStart"/>
      <w:r w:rsidRPr="00AA202C">
        <w:rPr>
          <w:rFonts w:ascii="Arial" w:hAnsi="Arial" w:cs="Arial"/>
        </w:rPr>
        <w:t>Apificación</w:t>
      </w:r>
      <w:proofErr w:type="spellEnd"/>
      <w:r w:rsidRPr="00AA202C">
        <w:rPr>
          <w:rFonts w:ascii="Arial" w:hAnsi="Arial" w:cs="Arial"/>
        </w:rPr>
        <w:t xml:space="preserve"> y </w:t>
      </w:r>
      <w:proofErr w:type="spellStart"/>
      <w:r w:rsidRPr="00AA202C">
        <w:rPr>
          <w:rFonts w:ascii="Arial" w:hAnsi="Arial" w:cs="Arial"/>
        </w:rPr>
        <w:t>SmartVista</w:t>
      </w:r>
      <w:proofErr w:type="spellEnd"/>
      <w:r w:rsidRPr="00AA202C">
        <w:rPr>
          <w:rFonts w:ascii="Arial" w:hAnsi="Arial" w:cs="Arial"/>
        </w:rPr>
        <w:t xml:space="preserve"> usando la Estimadora. Al dimensionar el esfuerzo real, se eliminaron 5 HUs por inviabilidad de tiempo, conservando 8 que permitían generar un entregable robusto y funcional para el cliente.</w:t>
      </w:r>
    </w:p>
    <w:p w14:paraId="52A57F72" w14:textId="77777777" w:rsidR="00AA202C" w:rsidRDefault="009532A2" w:rsidP="00AA202C">
      <w:pPr>
        <w:pStyle w:val="ListParagraph"/>
        <w:numPr>
          <w:ilvl w:val="0"/>
          <w:numId w:val="4"/>
        </w:numPr>
        <w:spacing w:before="70" w:after="70"/>
        <w:rPr>
          <w:rFonts w:ascii="Arial" w:hAnsi="Arial" w:cs="Arial"/>
        </w:rPr>
      </w:pPr>
      <w:r w:rsidRPr="00AA202C">
        <w:rPr>
          <w:rFonts w:ascii="Arial" w:hAnsi="Arial" w:cs="Arial"/>
          <w:b/>
          <w:bCs/>
        </w:rPr>
        <w:t xml:space="preserve">Segunda reducción (12 → 10 HUs). </w:t>
      </w:r>
      <w:r w:rsidRPr="00AA202C">
        <w:rPr>
          <w:rFonts w:ascii="Arial" w:hAnsi="Arial" w:cs="Arial"/>
        </w:rPr>
        <w:t xml:space="preserve">El refinamiento en Jira desgranó las 8 HUs en 12. A principios de julio, con los retrasos acumulados en </w:t>
      </w:r>
      <w:proofErr w:type="spellStart"/>
      <w:r w:rsidRPr="00AA202C">
        <w:rPr>
          <w:rFonts w:ascii="Arial" w:hAnsi="Arial" w:cs="Arial"/>
        </w:rPr>
        <w:t>DTMs</w:t>
      </w:r>
      <w:proofErr w:type="spellEnd"/>
      <w:r w:rsidRPr="00AA202C">
        <w:rPr>
          <w:rFonts w:ascii="Arial" w:hAnsi="Arial" w:cs="Arial"/>
        </w:rPr>
        <w:t xml:space="preserve"> y </w:t>
      </w:r>
      <w:proofErr w:type="spellStart"/>
      <w:r w:rsidRPr="00AA202C">
        <w:rPr>
          <w:rFonts w:ascii="Arial" w:hAnsi="Arial" w:cs="Arial"/>
        </w:rPr>
        <w:t>Figma</w:t>
      </w:r>
      <w:proofErr w:type="spellEnd"/>
      <w:r w:rsidRPr="00AA202C">
        <w:rPr>
          <w:rFonts w:ascii="Arial" w:hAnsi="Arial" w:cs="Arial"/>
        </w:rPr>
        <w:t xml:space="preserve">, el equipo volvió a ajustar con negocio y eliminó las últimas dos HUs (eliminación y notificación de tarjeta) por los tiempos de construcción de API y el desface en la entrega del </w:t>
      </w:r>
      <w:proofErr w:type="spellStart"/>
      <w:r w:rsidRPr="00AA202C">
        <w:rPr>
          <w:rFonts w:ascii="Arial" w:hAnsi="Arial" w:cs="Arial"/>
        </w:rPr>
        <w:t>Figma</w:t>
      </w:r>
      <w:proofErr w:type="spellEnd"/>
      <w:r w:rsidRPr="00AA202C">
        <w:rPr>
          <w:rFonts w:ascii="Arial" w:hAnsi="Arial" w:cs="Arial"/>
        </w:rPr>
        <w:t>. Resultado final: 10 HUs activas.</w:t>
      </w:r>
    </w:p>
    <w:p w14:paraId="3F603459" w14:textId="5B6D0F7B" w:rsidR="00B37443" w:rsidRPr="00AA202C" w:rsidRDefault="009532A2" w:rsidP="00AA202C">
      <w:pPr>
        <w:pStyle w:val="ListParagraph"/>
        <w:numPr>
          <w:ilvl w:val="0"/>
          <w:numId w:val="4"/>
        </w:numPr>
        <w:spacing w:before="160" w:after="70"/>
        <w:rPr>
          <w:rFonts w:ascii="Arial" w:hAnsi="Arial" w:cs="Arial"/>
        </w:rPr>
      </w:pPr>
      <w:r w:rsidRPr="00AA202C">
        <w:rPr>
          <w:rFonts w:ascii="Arial" w:hAnsi="Arial" w:cs="Arial"/>
          <w:b/>
          <w:bCs/>
        </w:rPr>
        <w:lastRenderedPageBreak/>
        <w:t xml:space="preserve">Sin </w:t>
      </w:r>
      <w:proofErr w:type="spellStart"/>
      <w:r w:rsidRPr="00AA202C">
        <w:rPr>
          <w:rFonts w:ascii="Arial" w:hAnsi="Arial" w:cs="Arial"/>
          <w:b/>
          <w:bCs/>
        </w:rPr>
        <w:t>sign</w:t>
      </w:r>
      <w:proofErr w:type="spellEnd"/>
      <w:r w:rsidRPr="00AA202C">
        <w:rPr>
          <w:rFonts w:ascii="Arial" w:hAnsi="Arial" w:cs="Arial"/>
          <w:b/>
          <w:bCs/>
        </w:rPr>
        <w:t xml:space="preserve">-off formal de negocio. </w:t>
      </w:r>
      <w:r w:rsidRPr="00AA202C">
        <w:rPr>
          <w:rFonts w:ascii="Arial" w:hAnsi="Arial" w:cs="Arial"/>
        </w:rPr>
        <w:t xml:space="preserve">El alcance actual de 10 HUs no tiene respaldo escrito. Los acuerdos de exclusión quedaron en mesas de trabajo sin correo ni documento firmado. </w:t>
      </w:r>
    </w:p>
    <w:p w14:paraId="68C511FF" w14:textId="01F7B66E" w:rsidR="00B37443" w:rsidRPr="00AA202C" w:rsidRDefault="009532A2">
      <w:pPr>
        <w:spacing w:before="160" w:after="60"/>
        <w:rPr>
          <w:rFonts w:ascii="Arial" w:hAnsi="Arial" w:cs="Arial"/>
        </w:rPr>
      </w:pPr>
      <w:r w:rsidRPr="00AA202C">
        <w:rPr>
          <w:rFonts w:ascii="Arial" w:hAnsi="Arial" w:cs="Arial"/>
          <w:b/>
          <w:bCs/>
          <w:color w:val="2E75B6"/>
        </w:rPr>
        <w:t xml:space="preserve">2.3 Desarrollo en dos bloques </w:t>
      </w:r>
    </w:p>
    <w:p w14:paraId="6B505168" w14:textId="1B489AC1"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Bloque 1 — HUs sin dependencia de </w:t>
      </w:r>
      <w:proofErr w:type="spellStart"/>
      <w:r w:rsidRPr="00AA202C">
        <w:rPr>
          <w:rFonts w:ascii="Arial" w:hAnsi="Arial" w:cs="Arial"/>
          <w:b/>
          <w:bCs/>
        </w:rPr>
        <w:t>DTMs</w:t>
      </w:r>
      <w:proofErr w:type="spellEnd"/>
      <w:r w:rsidRPr="00AA202C">
        <w:rPr>
          <w:rFonts w:ascii="Arial" w:hAnsi="Arial" w:cs="Arial"/>
          <w:b/>
          <w:bCs/>
        </w:rPr>
        <w:t xml:space="preserve"> (HUs 1-5): </w:t>
      </w:r>
      <w:r w:rsidRPr="00AA202C">
        <w:rPr>
          <w:rFonts w:ascii="Arial" w:hAnsi="Arial" w:cs="Arial"/>
        </w:rPr>
        <w:t xml:space="preserve">Desarrollo iniciado el 23 de junio. Estas historias solo dependen del </w:t>
      </w:r>
      <w:proofErr w:type="spellStart"/>
      <w:r w:rsidRPr="00AA202C">
        <w:rPr>
          <w:rFonts w:ascii="Arial" w:hAnsi="Arial" w:cs="Arial"/>
        </w:rPr>
        <w:t>Figma</w:t>
      </w:r>
      <w:proofErr w:type="spellEnd"/>
      <w:r w:rsidRPr="00AA202C">
        <w:rPr>
          <w:rFonts w:ascii="Arial" w:hAnsi="Arial" w:cs="Arial"/>
        </w:rPr>
        <w:t xml:space="preserve"> de CX, ya disponible. Entrega estimada: finales de julio</w:t>
      </w:r>
      <w:r w:rsidRPr="00AA202C">
        <w:rPr>
          <w:rFonts w:ascii="Arial" w:hAnsi="Arial" w:cs="Arial"/>
        </w:rPr>
        <w:t xml:space="preserve">. </w:t>
      </w:r>
      <w:r w:rsidRPr="00AA202C">
        <w:rPr>
          <w:rFonts w:ascii="Arial" w:hAnsi="Arial" w:cs="Arial"/>
        </w:rPr>
        <w:t xml:space="preserve">Al recibir el </w:t>
      </w:r>
      <w:proofErr w:type="spellStart"/>
      <w:r w:rsidRPr="00AA202C">
        <w:rPr>
          <w:rFonts w:ascii="Arial" w:hAnsi="Arial" w:cs="Arial"/>
        </w:rPr>
        <w:t>Figma</w:t>
      </w:r>
      <w:proofErr w:type="spellEnd"/>
      <w:r w:rsidRPr="00AA202C">
        <w:rPr>
          <w:rFonts w:ascii="Arial" w:hAnsi="Arial" w:cs="Arial"/>
        </w:rPr>
        <w:t xml:space="preserve"> el 14 de julio, el equipo identificó que debía incluir la HU de encendido/apagado (no contemplada originalmente), lo que expandió el bloque de 4 a 5 historias.</w:t>
      </w:r>
    </w:p>
    <w:p w14:paraId="034FE098" w14:textId="63A864A3"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Bloque 2 — HUs con dependencia de </w:t>
      </w:r>
      <w:proofErr w:type="spellStart"/>
      <w:r w:rsidRPr="00AA202C">
        <w:rPr>
          <w:rFonts w:ascii="Arial" w:hAnsi="Arial" w:cs="Arial"/>
          <w:b/>
          <w:bCs/>
        </w:rPr>
        <w:t>DTMs</w:t>
      </w:r>
      <w:proofErr w:type="spellEnd"/>
      <w:r w:rsidRPr="00AA202C">
        <w:rPr>
          <w:rFonts w:ascii="Arial" w:hAnsi="Arial" w:cs="Arial"/>
          <w:b/>
          <w:bCs/>
        </w:rPr>
        <w:t xml:space="preserve"> (HUs 6-10): </w:t>
      </w:r>
      <w:r w:rsidRPr="00AA202C">
        <w:rPr>
          <w:rFonts w:ascii="Arial" w:hAnsi="Arial" w:cs="Arial"/>
        </w:rPr>
        <w:t xml:space="preserve">Estas historias dependen de los </w:t>
      </w:r>
      <w:proofErr w:type="spellStart"/>
      <w:r w:rsidRPr="00AA202C">
        <w:rPr>
          <w:rFonts w:ascii="Arial" w:hAnsi="Arial" w:cs="Arial"/>
        </w:rPr>
        <w:t>DTMs</w:t>
      </w:r>
      <w:proofErr w:type="spellEnd"/>
      <w:r w:rsidRPr="00AA202C">
        <w:rPr>
          <w:rFonts w:ascii="Arial" w:hAnsi="Arial" w:cs="Arial"/>
        </w:rPr>
        <w:t xml:space="preserve"> que está construyendo </w:t>
      </w:r>
      <w:proofErr w:type="spellStart"/>
      <w:r w:rsidR="00AA202C">
        <w:rPr>
          <w:rFonts w:ascii="Arial" w:hAnsi="Arial" w:cs="Arial"/>
        </w:rPr>
        <w:t>Appwhere</w:t>
      </w:r>
      <w:proofErr w:type="spellEnd"/>
      <w:r w:rsidRPr="00AA202C">
        <w:rPr>
          <w:rFonts w:ascii="Arial" w:hAnsi="Arial" w:cs="Arial"/>
        </w:rPr>
        <w:t xml:space="preserve">. La fecha de entrega de los </w:t>
      </w:r>
      <w:proofErr w:type="spellStart"/>
      <w:r w:rsidRPr="00AA202C">
        <w:rPr>
          <w:rFonts w:ascii="Arial" w:hAnsi="Arial" w:cs="Arial"/>
        </w:rPr>
        <w:t>DTMs</w:t>
      </w:r>
      <w:proofErr w:type="spellEnd"/>
      <w:r w:rsidRPr="00AA202C">
        <w:rPr>
          <w:rFonts w:ascii="Arial" w:hAnsi="Arial" w:cs="Arial"/>
        </w:rPr>
        <w:t xml:space="preserve"> está pendiente de confirmación por parte de </w:t>
      </w:r>
      <w:proofErr w:type="spellStart"/>
      <w:r w:rsidR="00AA202C">
        <w:rPr>
          <w:rFonts w:ascii="Arial" w:hAnsi="Arial" w:cs="Arial"/>
        </w:rPr>
        <w:t>Appwhere</w:t>
      </w:r>
      <w:proofErr w:type="spellEnd"/>
      <w:r w:rsidRPr="00AA202C">
        <w:rPr>
          <w:rFonts w:ascii="Arial" w:hAnsi="Arial" w:cs="Arial"/>
        </w:rPr>
        <w:t xml:space="preserve">. Hasta que los </w:t>
      </w:r>
      <w:proofErr w:type="spellStart"/>
      <w:r w:rsidRPr="00AA202C">
        <w:rPr>
          <w:rFonts w:ascii="Arial" w:hAnsi="Arial" w:cs="Arial"/>
        </w:rPr>
        <w:t>DTMs</w:t>
      </w:r>
      <w:proofErr w:type="spellEnd"/>
      <w:r w:rsidRPr="00AA202C">
        <w:rPr>
          <w:rFonts w:ascii="Arial" w:hAnsi="Arial" w:cs="Arial"/>
        </w:rPr>
        <w:t xml:space="preserve"> estén cerrados, el desarrollo del Bloque 2 no puede iniciar. Este es el punto crítico del cronograma del </w:t>
      </w:r>
      <w:proofErr w:type="spellStart"/>
      <w:r w:rsidRPr="00AA202C">
        <w:rPr>
          <w:rFonts w:ascii="Arial" w:hAnsi="Arial" w:cs="Arial"/>
        </w:rPr>
        <w:t>track</w:t>
      </w:r>
      <w:proofErr w:type="spellEnd"/>
      <w:r w:rsidRPr="00AA202C">
        <w:rPr>
          <w:rFonts w:ascii="Arial" w:hAnsi="Arial" w:cs="Arial"/>
        </w:rPr>
        <w:t>.</w:t>
      </w:r>
    </w:p>
    <w:p w14:paraId="6F9F14EB" w14:textId="5C1BC857" w:rsidR="00B37443" w:rsidRPr="00AA202C" w:rsidRDefault="009532A2" w:rsidP="00AA202C">
      <w:pPr>
        <w:pStyle w:val="ListParagraph"/>
        <w:numPr>
          <w:ilvl w:val="0"/>
          <w:numId w:val="1"/>
        </w:numPr>
        <w:spacing w:before="70" w:after="70"/>
        <w:rPr>
          <w:rFonts w:ascii="Arial" w:hAnsi="Arial" w:cs="Arial"/>
        </w:rPr>
      </w:pPr>
      <w:r w:rsidRPr="00AA202C">
        <w:rPr>
          <w:rFonts w:ascii="Arial" w:hAnsi="Arial" w:cs="Arial"/>
          <w:b/>
          <w:bCs/>
        </w:rPr>
        <w:t xml:space="preserve">Estrategia de valor progresivo. </w:t>
      </w:r>
      <w:r w:rsidRPr="00AA202C">
        <w:rPr>
          <w:rFonts w:ascii="Arial" w:hAnsi="Arial" w:cs="Arial"/>
        </w:rPr>
        <w:t xml:space="preserve">La división en dos bloques responde a una decisión deliberada de generar valor al cliente lo antes posible, sin esperar a que todo el alcance esté listo. Es un cambio respecto al plan original que era </w:t>
      </w:r>
      <w:proofErr w:type="spellStart"/>
      <w:r w:rsidRPr="00AA202C">
        <w:rPr>
          <w:rFonts w:ascii="Arial" w:hAnsi="Arial" w:cs="Arial"/>
        </w:rPr>
        <w:t>cascadeado</w:t>
      </w:r>
      <w:proofErr w:type="spellEnd"/>
      <w:r w:rsidRPr="00AA202C">
        <w:rPr>
          <w:rFonts w:ascii="Arial" w:hAnsi="Arial" w:cs="Arial"/>
        </w:rPr>
        <w:t xml:space="preserve"> historia por historia.</w:t>
      </w:r>
    </w:p>
    <w:p w14:paraId="44F27475" w14:textId="77777777" w:rsidR="00B37443" w:rsidRPr="00AA202C" w:rsidRDefault="009532A2">
      <w:pPr>
        <w:spacing w:before="160" w:after="60"/>
        <w:rPr>
          <w:rFonts w:ascii="Arial" w:hAnsi="Arial" w:cs="Arial"/>
        </w:rPr>
      </w:pPr>
      <w:r w:rsidRPr="00AA202C">
        <w:rPr>
          <w:rFonts w:ascii="Arial" w:hAnsi="Arial" w:cs="Arial"/>
          <w:b/>
          <w:bCs/>
          <w:color w:val="2E75B6"/>
        </w:rPr>
        <w:t>2.4 Estrategia de pruebas — pendiente de definir</w:t>
      </w:r>
    </w:p>
    <w:p w14:paraId="246A745D" w14:textId="15C011C5"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Sin estimación de QA. </w:t>
      </w:r>
      <w:r w:rsidRPr="00AA202C">
        <w:rPr>
          <w:rFonts w:ascii="Arial" w:hAnsi="Arial" w:cs="Arial"/>
        </w:rPr>
        <w:t xml:space="preserve">El equipo de QA aún no ha entregado la estimación de tiempos para las pruebas funcionales del R4. </w:t>
      </w:r>
    </w:p>
    <w:p w14:paraId="22FECEAE" w14:textId="509C7E7B"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Pruebas integrales en ambiente unificado. </w:t>
      </w:r>
      <w:r w:rsidRPr="00AA202C">
        <w:rPr>
          <w:rFonts w:ascii="Arial" w:hAnsi="Arial" w:cs="Arial"/>
        </w:rPr>
        <w:t xml:space="preserve">No es viable validar historia por historia conforme terminan. La propuesta es realizar pruebas integrales </w:t>
      </w:r>
      <w:r w:rsidRPr="00AA202C">
        <w:rPr>
          <w:rFonts w:ascii="Arial" w:hAnsi="Arial" w:cs="Arial"/>
        </w:rPr>
        <w:t>en un ambiente unificado de Unity. Está en evaluación si se pueden hacer en dos bloques (lo que reduciría tiempos) o si necesariamente deben hacerse como un bloque completo.</w:t>
      </w:r>
    </w:p>
    <w:p w14:paraId="244BBA36" w14:textId="424EE292"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Dependencia de </w:t>
      </w:r>
      <w:proofErr w:type="spellStart"/>
      <w:r w:rsidRPr="00AA202C">
        <w:rPr>
          <w:rFonts w:ascii="Arial" w:hAnsi="Arial" w:cs="Arial"/>
          <w:b/>
          <w:bCs/>
        </w:rPr>
        <w:t>SmartVista</w:t>
      </w:r>
      <w:proofErr w:type="spellEnd"/>
      <w:r w:rsidRPr="00AA202C">
        <w:rPr>
          <w:rFonts w:ascii="Arial" w:hAnsi="Arial" w:cs="Arial"/>
          <w:b/>
          <w:bCs/>
        </w:rPr>
        <w:t xml:space="preserve"> y </w:t>
      </w:r>
      <w:proofErr w:type="spellStart"/>
      <w:r w:rsidRPr="00AA202C">
        <w:rPr>
          <w:rFonts w:ascii="Arial" w:hAnsi="Arial" w:cs="Arial"/>
          <w:b/>
          <w:bCs/>
        </w:rPr>
        <w:t>Apificación</w:t>
      </w:r>
      <w:proofErr w:type="spellEnd"/>
      <w:r w:rsidRPr="00AA202C">
        <w:rPr>
          <w:rFonts w:ascii="Arial" w:hAnsi="Arial" w:cs="Arial"/>
          <w:b/>
          <w:bCs/>
        </w:rPr>
        <w:t xml:space="preserve"> en pruebas. </w:t>
      </w:r>
      <w:r w:rsidRPr="00AA202C">
        <w:rPr>
          <w:rFonts w:ascii="Arial" w:hAnsi="Arial" w:cs="Arial"/>
        </w:rPr>
        <w:t xml:space="preserve">Las pruebas integrales requieren soporte activo de </w:t>
      </w:r>
      <w:proofErr w:type="spellStart"/>
      <w:r w:rsidRPr="00AA202C">
        <w:rPr>
          <w:rFonts w:ascii="Arial" w:hAnsi="Arial" w:cs="Arial"/>
        </w:rPr>
        <w:t>SmartVista</w:t>
      </w:r>
      <w:proofErr w:type="spellEnd"/>
      <w:r w:rsidRPr="00AA202C">
        <w:rPr>
          <w:rFonts w:ascii="Arial" w:hAnsi="Arial" w:cs="Arial"/>
        </w:rPr>
        <w:t xml:space="preserve"> </w:t>
      </w:r>
      <w:r w:rsidRPr="00AA202C">
        <w:rPr>
          <w:rFonts w:ascii="Arial" w:hAnsi="Arial" w:cs="Arial"/>
        </w:rPr>
        <w:t xml:space="preserve">y </w:t>
      </w:r>
      <w:proofErr w:type="spellStart"/>
      <w:r w:rsidRPr="00AA202C">
        <w:rPr>
          <w:rFonts w:ascii="Arial" w:hAnsi="Arial" w:cs="Arial"/>
        </w:rPr>
        <w:t>Apificació</w:t>
      </w:r>
      <w:r w:rsidR="00AA202C">
        <w:rPr>
          <w:rFonts w:ascii="Arial" w:hAnsi="Arial" w:cs="Arial"/>
        </w:rPr>
        <w:t>n</w:t>
      </w:r>
      <w:proofErr w:type="spellEnd"/>
      <w:r w:rsidRPr="00AA202C">
        <w:rPr>
          <w:rFonts w:ascii="Arial" w:hAnsi="Arial" w:cs="Arial"/>
        </w:rPr>
        <w:t>. Estos equipos tienen otras responsabilidades activas en el R4, lo que limita su disponibilidad.</w:t>
      </w:r>
    </w:p>
    <w:p w14:paraId="08336AA9" w14:textId="77777777" w:rsidR="00B37443" w:rsidRPr="00AA202C" w:rsidRDefault="00B37443">
      <w:pPr>
        <w:spacing w:before="160"/>
        <w:rPr>
          <w:rFonts w:ascii="Arial" w:hAnsi="Arial" w:cs="Arial"/>
        </w:rPr>
      </w:pPr>
    </w:p>
    <w:p w14:paraId="378F7BFC" w14:textId="77777777" w:rsidR="00B37443" w:rsidRPr="00AA202C" w:rsidRDefault="009532A2">
      <w:pPr>
        <w:spacing w:before="160" w:after="60"/>
        <w:rPr>
          <w:rFonts w:ascii="Arial" w:hAnsi="Arial" w:cs="Arial"/>
        </w:rPr>
      </w:pPr>
      <w:r w:rsidRPr="00AA202C">
        <w:rPr>
          <w:rFonts w:ascii="Arial" w:hAnsi="Arial" w:cs="Arial"/>
          <w:b/>
          <w:bCs/>
          <w:color w:val="2E75B6"/>
        </w:rPr>
        <w:t xml:space="preserve">2.5 Riesgos e </w:t>
      </w:r>
      <w:proofErr w:type="spellStart"/>
      <w:r w:rsidRPr="00AA202C">
        <w:rPr>
          <w:rFonts w:ascii="Arial" w:hAnsi="Arial" w:cs="Arial"/>
          <w:b/>
          <w:bCs/>
          <w:color w:val="2E75B6"/>
        </w:rPr>
        <w:t>issues</w:t>
      </w:r>
      <w:proofErr w:type="spellEnd"/>
      <w:r w:rsidRPr="00AA202C">
        <w:rPr>
          <w:rFonts w:ascii="Arial" w:hAnsi="Arial" w:cs="Arial"/>
          <w:b/>
          <w:bCs/>
          <w:color w:val="2E75B6"/>
        </w:rPr>
        <w:t xml:space="preserve"> identificados</w:t>
      </w:r>
    </w:p>
    <w:p w14:paraId="16943AEE" w14:textId="5AD6E926"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Retraso en diseños CX/</w:t>
      </w:r>
      <w:proofErr w:type="spellStart"/>
      <w:r w:rsidRPr="00AA202C">
        <w:rPr>
          <w:rFonts w:ascii="Arial" w:hAnsi="Arial" w:cs="Arial"/>
          <w:b/>
          <w:bCs/>
        </w:rPr>
        <w:t>Figma</w:t>
      </w:r>
      <w:proofErr w:type="spellEnd"/>
      <w:r w:rsidRPr="00AA202C">
        <w:rPr>
          <w:rFonts w:ascii="Arial" w:hAnsi="Arial" w:cs="Arial"/>
          <w:b/>
          <w:bCs/>
        </w:rPr>
        <w:t xml:space="preserve"> —</w:t>
      </w:r>
      <w:r w:rsidR="00AA202C">
        <w:rPr>
          <w:rFonts w:ascii="Arial" w:hAnsi="Arial" w:cs="Arial"/>
          <w:b/>
          <w:bCs/>
        </w:rPr>
        <w:t xml:space="preserve"> </w:t>
      </w:r>
      <w:r w:rsidRPr="00AA202C">
        <w:rPr>
          <w:rFonts w:ascii="Arial" w:hAnsi="Arial" w:cs="Arial"/>
        </w:rPr>
        <w:t xml:space="preserve">La segunda entrega de </w:t>
      </w:r>
      <w:proofErr w:type="spellStart"/>
      <w:r w:rsidRPr="00AA202C">
        <w:rPr>
          <w:rFonts w:ascii="Arial" w:hAnsi="Arial" w:cs="Arial"/>
        </w:rPr>
        <w:t>Figma</w:t>
      </w:r>
      <w:proofErr w:type="spellEnd"/>
      <w:r w:rsidRPr="00AA202C">
        <w:rPr>
          <w:rFonts w:ascii="Arial" w:hAnsi="Arial" w:cs="Arial"/>
        </w:rPr>
        <w:t xml:space="preserve"> está comprometida para el 29 de julio. Si CX no cumple esta fecha, el Bloque 2 no puede iniciar desarrollo</w:t>
      </w:r>
    </w:p>
    <w:p w14:paraId="4FA581C5" w14:textId="07AFFFD0"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Disponibilidad de </w:t>
      </w:r>
      <w:proofErr w:type="spellStart"/>
      <w:r w:rsidRPr="00AA202C">
        <w:rPr>
          <w:rFonts w:ascii="Arial" w:hAnsi="Arial" w:cs="Arial"/>
          <w:b/>
          <w:bCs/>
        </w:rPr>
        <w:t>SmartVista</w:t>
      </w:r>
      <w:proofErr w:type="spellEnd"/>
      <w:r w:rsidRPr="00AA202C">
        <w:rPr>
          <w:rFonts w:ascii="Arial" w:hAnsi="Arial" w:cs="Arial"/>
          <w:b/>
          <w:bCs/>
        </w:rPr>
        <w:t xml:space="preserve"> y </w:t>
      </w:r>
      <w:proofErr w:type="spellStart"/>
      <w:r w:rsidRPr="00AA202C">
        <w:rPr>
          <w:rFonts w:ascii="Arial" w:hAnsi="Arial" w:cs="Arial"/>
          <w:b/>
          <w:bCs/>
        </w:rPr>
        <w:t>Apificación</w:t>
      </w:r>
      <w:proofErr w:type="spellEnd"/>
      <w:r w:rsidRPr="00AA202C">
        <w:rPr>
          <w:rFonts w:ascii="Arial" w:hAnsi="Arial" w:cs="Arial"/>
          <w:b/>
          <w:bCs/>
        </w:rPr>
        <w:t xml:space="preserve"> en pruebas —</w:t>
      </w:r>
      <w:r w:rsidR="00AA202C">
        <w:rPr>
          <w:rFonts w:ascii="Arial" w:hAnsi="Arial" w:cs="Arial"/>
          <w:b/>
          <w:bCs/>
        </w:rPr>
        <w:t xml:space="preserve"> </w:t>
      </w:r>
      <w:r w:rsidRPr="00AA202C">
        <w:rPr>
          <w:rFonts w:ascii="Arial" w:hAnsi="Arial" w:cs="Arial"/>
        </w:rPr>
        <w:t>Su disponibilidad para dar soporte a las pruebas integrales de App Digital es limitada y no está garantizada.</w:t>
      </w:r>
    </w:p>
    <w:p w14:paraId="1B703D15" w14:textId="631189D9"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Inestabilidad del ambiente de integración de Unity </w:t>
      </w:r>
      <w:r w:rsidRPr="00AA202C">
        <w:rPr>
          <w:rFonts w:ascii="Arial" w:hAnsi="Arial" w:cs="Arial"/>
          <w:b/>
          <w:bCs/>
        </w:rPr>
        <w:t>—</w:t>
      </w:r>
      <w:r w:rsidRPr="00AA202C">
        <w:rPr>
          <w:rFonts w:ascii="Arial" w:hAnsi="Arial" w:cs="Arial"/>
          <w:b/>
          <w:bCs/>
        </w:rPr>
        <w:t xml:space="preserve"> </w:t>
      </w:r>
      <w:r w:rsidRPr="00AA202C">
        <w:rPr>
          <w:rFonts w:ascii="Arial" w:hAnsi="Arial" w:cs="Arial"/>
        </w:rPr>
        <w:t>En el R3, la inestabilidad del ambiente causó semanas de pérdida en pruebas. El nuevo ambiente de integración de Unity debe validarse con anticipación antes de iniciar el ciclo de pruebas del R4 para evitar repetir esta experiencia.</w:t>
      </w:r>
    </w:p>
    <w:p w14:paraId="3BE4124A" w14:textId="20A18969" w:rsidR="00B37443" w:rsidRPr="00AA202C" w:rsidRDefault="009532A2">
      <w:pPr>
        <w:pStyle w:val="ListParagraph"/>
        <w:numPr>
          <w:ilvl w:val="0"/>
          <w:numId w:val="1"/>
        </w:numPr>
        <w:spacing w:before="70" w:after="70"/>
        <w:rPr>
          <w:rFonts w:ascii="Arial" w:hAnsi="Arial" w:cs="Arial"/>
        </w:rPr>
      </w:pPr>
      <w:r w:rsidRPr="00AA202C">
        <w:rPr>
          <w:rFonts w:ascii="Arial" w:hAnsi="Arial" w:cs="Arial"/>
          <w:b/>
          <w:bCs/>
        </w:rPr>
        <w:t xml:space="preserve">Fechas de entrega de </w:t>
      </w:r>
      <w:proofErr w:type="spellStart"/>
      <w:r w:rsidRPr="00AA202C">
        <w:rPr>
          <w:rFonts w:ascii="Arial" w:hAnsi="Arial" w:cs="Arial"/>
          <w:b/>
          <w:bCs/>
        </w:rPr>
        <w:t>DTMs</w:t>
      </w:r>
      <w:proofErr w:type="spellEnd"/>
      <w:r w:rsidRPr="00AA202C">
        <w:rPr>
          <w:rFonts w:ascii="Arial" w:hAnsi="Arial" w:cs="Arial"/>
          <w:b/>
          <w:bCs/>
        </w:rPr>
        <w:t xml:space="preserve"> de </w:t>
      </w:r>
      <w:proofErr w:type="spellStart"/>
      <w:r w:rsidR="00AA202C">
        <w:rPr>
          <w:rFonts w:ascii="Arial" w:hAnsi="Arial" w:cs="Arial"/>
          <w:b/>
          <w:bCs/>
        </w:rPr>
        <w:t>Appwhere</w:t>
      </w:r>
      <w:proofErr w:type="spellEnd"/>
      <w:r w:rsidRPr="00AA202C">
        <w:rPr>
          <w:rFonts w:ascii="Arial" w:hAnsi="Arial" w:cs="Arial"/>
          <w:b/>
          <w:bCs/>
        </w:rPr>
        <w:t xml:space="preserve"> sin confirmar —</w:t>
      </w:r>
      <w:r w:rsidR="00AA202C">
        <w:rPr>
          <w:rFonts w:ascii="Arial" w:hAnsi="Arial" w:cs="Arial"/>
          <w:b/>
          <w:bCs/>
        </w:rPr>
        <w:t xml:space="preserve"> </w:t>
      </w:r>
      <w:r w:rsidRPr="00AA202C">
        <w:rPr>
          <w:rFonts w:ascii="Arial" w:hAnsi="Arial" w:cs="Arial"/>
        </w:rPr>
        <w:t xml:space="preserve">Las fechas que </w:t>
      </w:r>
      <w:proofErr w:type="spellStart"/>
      <w:r w:rsidR="00AA202C">
        <w:rPr>
          <w:rFonts w:ascii="Arial" w:hAnsi="Arial" w:cs="Arial"/>
        </w:rPr>
        <w:t>Appwhere</w:t>
      </w:r>
      <w:proofErr w:type="spellEnd"/>
      <w:r w:rsidR="00AA202C">
        <w:rPr>
          <w:rFonts w:ascii="Arial" w:hAnsi="Arial" w:cs="Arial"/>
        </w:rPr>
        <w:t xml:space="preserve"> </w:t>
      </w:r>
      <w:r w:rsidRPr="00AA202C">
        <w:rPr>
          <w:rFonts w:ascii="Arial" w:hAnsi="Arial" w:cs="Arial"/>
        </w:rPr>
        <w:t xml:space="preserve">debe confirmar para los </w:t>
      </w:r>
      <w:proofErr w:type="spellStart"/>
      <w:r w:rsidRPr="00AA202C">
        <w:rPr>
          <w:rFonts w:ascii="Arial" w:hAnsi="Arial" w:cs="Arial"/>
        </w:rPr>
        <w:t>DTMs</w:t>
      </w:r>
      <w:proofErr w:type="spellEnd"/>
      <w:r w:rsidRPr="00AA202C">
        <w:rPr>
          <w:rFonts w:ascii="Arial" w:hAnsi="Arial" w:cs="Arial"/>
        </w:rPr>
        <w:t xml:space="preserve"> del Bloque 2 aún no están cerradas. Sin esta confirmación, el plan del Bloque 2 no puede trazarse ni comprometerse.</w:t>
      </w:r>
    </w:p>
    <w:p w14:paraId="379E7B8C" w14:textId="77777777" w:rsidR="00B37443" w:rsidRPr="00AA202C" w:rsidRDefault="00B37443">
      <w:pPr>
        <w:spacing w:before="200"/>
        <w:rPr>
          <w:rFonts w:ascii="Arial" w:hAnsi="Arial" w:cs="Arial"/>
        </w:rPr>
      </w:pPr>
    </w:p>
    <w:p w14:paraId="55F67B75" w14:textId="77777777" w:rsidR="00B37443" w:rsidRPr="00AA202C" w:rsidRDefault="009532A2">
      <w:pPr>
        <w:shd w:val="clear" w:color="1F3864" w:fill="1F3864"/>
        <w:spacing w:before="200" w:after="100"/>
        <w:ind w:left="100"/>
        <w:rPr>
          <w:rFonts w:ascii="Arial" w:hAnsi="Arial" w:cs="Arial"/>
        </w:rPr>
      </w:pPr>
      <w:r w:rsidRPr="00AA202C">
        <w:rPr>
          <w:rFonts w:ascii="Arial" w:hAnsi="Arial" w:cs="Arial"/>
          <w:b/>
          <w:bCs/>
          <w:color w:val="FFFFFF"/>
          <w:sz w:val="22"/>
          <w:szCs w:val="22"/>
        </w:rPr>
        <w:t>3. Acciones</w:t>
      </w:r>
    </w:p>
    <w:p w14:paraId="1842D246" w14:textId="77777777" w:rsidR="00AA202C" w:rsidRPr="00AA202C" w:rsidRDefault="00AA202C" w:rsidP="00AA202C">
      <w:pPr>
        <w:pStyle w:val="ListParagraph"/>
        <w:numPr>
          <w:ilvl w:val="0"/>
          <w:numId w:val="2"/>
        </w:numPr>
        <w:rPr>
          <w:rFonts w:ascii="Arial" w:hAnsi="Arial" w:cs="Arial"/>
        </w:rPr>
      </w:pPr>
      <w:r w:rsidRPr="00AA202C">
        <w:rPr>
          <w:rFonts w:ascii="Arial" w:hAnsi="Arial" w:cs="Arial"/>
        </w:rPr>
        <w:t>Ana Cervantes: Incluir a Diana y Jessica en la sesión de presentación de artefacto RAID.</w:t>
      </w:r>
    </w:p>
    <w:p w14:paraId="56898039" w14:textId="77777777" w:rsidR="00AA202C" w:rsidRPr="00AA202C" w:rsidRDefault="00AA202C" w:rsidP="00AA202C">
      <w:pPr>
        <w:pStyle w:val="ListParagraph"/>
        <w:numPr>
          <w:ilvl w:val="0"/>
          <w:numId w:val="2"/>
        </w:numPr>
        <w:rPr>
          <w:rFonts w:ascii="Arial" w:hAnsi="Arial" w:cs="Arial"/>
        </w:rPr>
      </w:pPr>
      <w:r w:rsidRPr="00AA202C">
        <w:rPr>
          <w:rFonts w:ascii="Arial" w:hAnsi="Arial" w:cs="Arial"/>
        </w:rPr>
        <w:t xml:space="preserve">Diana: Confirmar alcance y fechas incluidas en el </w:t>
      </w:r>
      <w:proofErr w:type="spellStart"/>
      <w:r w:rsidRPr="00AA202C">
        <w:rPr>
          <w:rFonts w:ascii="Arial" w:hAnsi="Arial" w:cs="Arial"/>
        </w:rPr>
        <w:t>roadmap</w:t>
      </w:r>
      <w:proofErr w:type="spellEnd"/>
      <w:r w:rsidRPr="00AA202C">
        <w:rPr>
          <w:rFonts w:ascii="Arial" w:hAnsi="Arial" w:cs="Arial"/>
        </w:rPr>
        <w:t xml:space="preserve"> compartido para la construcción del </w:t>
      </w:r>
      <w:proofErr w:type="spellStart"/>
      <w:r w:rsidRPr="00AA202C">
        <w:rPr>
          <w:rFonts w:ascii="Arial" w:hAnsi="Arial" w:cs="Arial"/>
        </w:rPr>
        <w:t>roadmap</w:t>
      </w:r>
      <w:proofErr w:type="spellEnd"/>
      <w:r w:rsidRPr="00AA202C">
        <w:rPr>
          <w:rFonts w:ascii="Arial" w:hAnsi="Arial" w:cs="Arial"/>
        </w:rPr>
        <w:t xml:space="preserve"> integral de R4.</w:t>
      </w:r>
    </w:p>
    <w:p w14:paraId="1F62DBA5" w14:textId="77777777" w:rsidR="009532A2" w:rsidRPr="00AA202C" w:rsidRDefault="009532A2" w:rsidP="00AA202C">
      <w:pPr>
        <w:pStyle w:val="ListParagraph"/>
        <w:ind w:left="720"/>
        <w:rPr>
          <w:rFonts w:ascii="Arial" w:hAnsi="Arial" w:cs="Arial"/>
        </w:rPr>
      </w:pPr>
    </w:p>
    <w:sectPr w:rsidR="009532A2" w:rsidRPr="00AA20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006"/>
    <w:multiLevelType w:val="hybridMultilevel"/>
    <w:tmpl w:val="F10AB1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1947097"/>
    <w:multiLevelType w:val="hybridMultilevel"/>
    <w:tmpl w:val="C6F6423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3F86329D"/>
    <w:multiLevelType w:val="multilevel"/>
    <w:tmpl w:val="D4A6A4C4"/>
    <w:lvl w:ilvl="0">
      <w:start w:val="2"/>
      <w:numFmt w:val="decimal"/>
      <w:lvlText w:val="%1"/>
      <w:lvlJc w:val="left"/>
      <w:pPr>
        <w:ind w:left="360" w:hanging="360"/>
      </w:pPr>
      <w:rPr>
        <w:rFonts w:hint="default"/>
        <w:b/>
        <w:color w:val="2E75B6"/>
      </w:rPr>
    </w:lvl>
    <w:lvl w:ilvl="1">
      <w:start w:val="2"/>
      <w:numFmt w:val="decimal"/>
      <w:lvlText w:val="%1.%2"/>
      <w:lvlJc w:val="left"/>
      <w:pPr>
        <w:ind w:left="502" w:hanging="360"/>
      </w:pPr>
      <w:rPr>
        <w:rFonts w:hint="default"/>
        <w:b/>
        <w:color w:val="2E75B6"/>
      </w:rPr>
    </w:lvl>
    <w:lvl w:ilvl="2">
      <w:start w:val="1"/>
      <w:numFmt w:val="decimal"/>
      <w:lvlText w:val="%1.%2.%3"/>
      <w:lvlJc w:val="left"/>
      <w:pPr>
        <w:ind w:left="1004" w:hanging="720"/>
      </w:pPr>
      <w:rPr>
        <w:rFonts w:hint="default"/>
        <w:b/>
        <w:color w:val="2E75B6"/>
      </w:rPr>
    </w:lvl>
    <w:lvl w:ilvl="3">
      <w:start w:val="1"/>
      <w:numFmt w:val="decimal"/>
      <w:lvlText w:val="%1.%2.%3.%4"/>
      <w:lvlJc w:val="left"/>
      <w:pPr>
        <w:ind w:left="1146" w:hanging="720"/>
      </w:pPr>
      <w:rPr>
        <w:rFonts w:hint="default"/>
        <w:b/>
        <w:color w:val="2E75B6"/>
      </w:rPr>
    </w:lvl>
    <w:lvl w:ilvl="4">
      <w:start w:val="1"/>
      <w:numFmt w:val="decimal"/>
      <w:lvlText w:val="%1.%2.%3.%4.%5"/>
      <w:lvlJc w:val="left"/>
      <w:pPr>
        <w:ind w:left="1648" w:hanging="1080"/>
      </w:pPr>
      <w:rPr>
        <w:rFonts w:hint="default"/>
        <w:b/>
        <w:color w:val="2E75B6"/>
      </w:rPr>
    </w:lvl>
    <w:lvl w:ilvl="5">
      <w:start w:val="1"/>
      <w:numFmt w:val="decimal"/>
      <w:lvlText w:val="%1.%2.%3.%4.%5.%6"/>
      <w:lvlJc w:val="left"/>
      <w:pPr>
        <w:ind w:left="1790" w:hanging="1080"/>
      </w:pPr>
      <w:rPr>
        <w:rFonts w:hint="default"/>
        <w:b/>
        <w:color w:val="2E75B6"/>
      </w:rPr>
    </w:lvl>
    <w:lvl w:ilvl="6">
      <w:start w:val="1"/>
      <w:numFmt w:val="decimal"/>
      <w:lvlText w:val="%1.%2.%3.%4.%5.%6.%7"/>
      <w:lvlJc w:val="left"/>
      <w:pPr>
        <w:ind w:left="2292" w:hanging="1440"/>
      </w:pPr>
      <w:rPr>
        <w:rFonts w:hint="default"/>
        <w:b/>
        <w:color w:val="2E75B6"/>
      </w:rPr>
    </w:lvl>
    <w:lvl w:ilvl="7">
      <w:start w:val="1"/>
      <w:numFmt w:val="decimal"/>
      <w:lvlText w:val="%1.%2.%3.%4.%5.%6.%7.%8"/>
      <w:lvlJc w:val="left"/>
      <w:pPr>
        <w:ind w:left="2434" w:hanging="1440"/>
      </w:pPr>
      <w:rPr>
        <w:rFonts w:hint="default"/>
        <w:b/>
        <w:color w:val="2E75B6"/>
      </w:rPr>
    </w:lvl>
    <w:lvl w:ilvl="8">
      <w:start w:val="1"/>
      <w:numFmt w:val="decimal"/>
      <w:lvlText w:val="%1.%2.%3.%4.%5.%6.%7.%8.%9"/>
      <w:lvlJc w:val="left"/>
      <w:pPr>
        <w:ind w:left="2936" w:hanging="1800"/>
      </w:pPr>
      <w:rPr>
        <w:rFonts w:hint="default"/>
        <w:b/>
        <w:color w:val="2E75B6"/>
      </w:rPr>
    </w:lvl>
  </w:abstractNum>
  <w:abstractNum w:abstractNumId="3" w15:restartNumberingAfterBreak="0">
    <w:nsid w:val="72AD3069"/>
    <w:multiLevelType w:val="hybridMultilevel"/>
    <w:tmpl w:val="5282D44C"/>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730566D6"/>
    <w:multiLevelType w:val="hybridMultilevel"/>
    <w:tmpl w:val="D172A1DE"/>
    <w:lvl w:ilvl="0" w:tplc="6A0CDA5C">
      <w:start w:val="1"/>
      <w:numFmt w:val="bullet"/>
      <w:lvlText w:val="●"/>
      <w:lvlJc w:val="left"/>
      <w:pPr>
        <w:ind w:left="720" w:hanging="360"/>
      </w:pPr>
    </w:lvl>
    <w:lvl w:ilvl="1" w:tplc="ADB80B78">
      <w:start w:val="1"/>
      <w:numFmt w:val="bullet"/>
      <w:lvlText w:val="○"/>
      <w:lvlJc w:val="left"/>
      <w:pPr>
        <w:ind w:left="1440" w:hanging="360"/>
      </w:pPr>
    </w:lvl>
    <w:lvl w:ilvl="2" w:tplc="37BCA52E">
      <w:start w:val="1"/>
      <w:numFmt w:val="bullet"/>
      <w:lvlText w:val="■"/>
      <w:lvlJc w:val="left"/>
      <w:pPr>
        <w:ind w:left="2160" w:hanging="360"/>
      </w:pPr>
    </w:lvl>
    <w:lvl w:ilvl="3" w:tplc="58A05D26">
      <w:start w:val="1"/>
      <w:numFmt w:val="bullet"/>
      <w:lvlText w:val="●"/>
      <w:lvlJc w:val="left"/>
      <w:pPr>
        <w:ind w:left="2880" w:hanging="360"/>
      </w:pPr>
    </w:lvl>
    <w:lvl w:ilvl="4" w:tplc="1582756C">
      <w:start w:val="1"/>
      <w:numFmt w:val="bullet"/>
      <w:lvlText w:val="○"/>
      <w:lvlJc w:val="left"/>
      <w:pPr>
        <w:ind w:left="3600" w:hanging="360"/>
      </w:pPr>
    </w:lvl>
    <w:lvl w:ilvl="5" w:tplc="2438EBCC">
      <w:start w:val="1"/>
      <w:numFmt w:val="bullet"/>
      <w:lvlText w:val="■"/>
      <w:lvlJc w:val="left"/>
      <w:pPr>
        <w:ind w:left="4320" w:hanging="360"/>
      </w:pPr>
    </w:lvl>
    <w:lvl w:ilvl="6" w:tplc="73D41A30">
      <w:start w:val="1"/>
      <w:numFmt w:val="bullet"/>
      <w:lvlText w:val="●"/>
      <w:lvlJc w:val="left"/>
      <w:pPr>
        <w:ind w:left="5040" w:hanging="360"/>
      </w:pPr>
    </w:lvl>
    <w:lvl w:ilvl="7" w:tplc="2034E458">
      <w:start w:val="1"/>
      <w:numFmt w:val="bullet"/>
      <w:lvlText w:val="●"/>
      <w:lvlJc w:val="left"/>
      <w:pPr>
        <w:ind w:left="5760" w:hanging="360"/>
      </w:pPr>
    </w:lvl>
    <w:lvl w:ilvl="8" w:tplc="8E14FE90">
      <w:start w:val="1"/>
      <w:numFmt w:val="bullet"/>
      <w:lvlText w:val="●"/>
      <w:lvlJc w:val="left"/>
      <w:pPr>
        <w:ind w:left="6480" w:hanging="360"/>
      </w:pPr>
    </w:lvl>
  </w:abstractNum>
  <w:num w:numId="1" w16cid:durableId="3212450">
    <w:abstractNumId w:val="4"/>
    <w:lvlOverride w:ilvl="0">
      <w:startOverride w:val="1"/>
    </w:lvlOverride>
  </w:num>
  <w:num w:numId="2" w16cid:durableId="1113087845">
    <w:abstractNumId w:val="0"/>
  </w:num>
  <w:num w:numId="3" w16cid:durableId="1196653228">
    <w:abstractNumId w:val="3"/>
  </w:num>
  <w:num w:numId="4" w16cid:durableId="1635410213">
    <w:abstractNumId w:val="1"/>
  </w:num>
  <w:num w:numId="5" w16cid:durableId="874580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443"/>
    <w:rsid w:val="003948BF"/>
    <w:rsid w:val="009532A2"/>
    <w:rsid w:val="00AA202C"/>
    <w:rsid w:val="00B37443"/>
    <w:rsid w:val="00D468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221E"/>
  <w15:docId w15:val="{E56139F0-1E07-4C5F-9A6B-5FA1E0E56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19C14E6CE42D4B977263D409F6C8DA" ma:contentTypeVersion="3" ma:contentTypeDescription="Crear nuevo documento." ma:contentTypeScope="" ma:versionID="2f4c844843fc0eaeefe441df60b3155f">
  <xsd:schema xmlns:xsd="http://www.w3.org/2001/XMLSchema" xmlns:xs="http://www.w3.org/2001/XMLSchema" xmlns:p="http://schemas.microsoft.com/office/2006/metadata/properties" xmlns:ns2="2e63f7ca-11da-434c-beda-f4aca14d09b4" targetNamespace="http://schemas.microsoft.com/office/2006/metadata/properties" ma:root="true" ma:fieldsID="060792bb7d35dfa6360dd3fbf1c23d8f" ns2:_="">
    <xsd:import namespace="2e63f7ca-11da-434c-beda-f4aca14d09b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63f7ca-11da-434c-beda-f4aca14d0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D5FF3C-DF36-42A0-870D-C3F9AB459B28}"/>
</file>

<file path=customXml/itemProps2.xml><?xml version="1.0" encoding="utf-8"?>
<ds:datastoreItem xmlns:ds="http://schemas.openxmlformats.org/officeDocument/2006/customXml" ds:itemID="{79CDDAA1-2B79-4578-A85E-3B408F5D04E1}"/>
</file>

<file path=customXml/itemProps3.xml><?xml version="1.0" encoding="utf-8"?>
<ds:datastoreItem xmlns:ds="http://schemas.openxmlformats.org/officeDocument/2006/customXml" ds:itemID="{A21D890D-AD2A-4D3B-A006-47F602484B39}"/>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949</Words>
  <Characters>4805</Characters>
  <Application>Microsoft Office Word</Application>
  <DocSecurity>0</DocSecurity>
  <Lines>85</Lines>
  <Paragraphs>36</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Cervantes, Ana</cp:lastModifiedBy>
  <cp:revision>3</cp:revision>
  <dcterms:created xsi:type="dcterms:W3CDTF">2026-07-24T01:15:00Z</dcterms:created>
  <dcterms:modified xsi:type="dcterms:W3CDTF">2026-07-24T01:16:00Z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0x0101003E19C14E6CE42D4B977263D409F6C8DA</vt:lpwstr>
  </property>
</Properties>
</file>