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F36EC" w14:textId="77777777" w:rsidR="00592F16" w:rsidRPr="007C733A" w:rsidRDefault="00B85A89">
      <w:pPr>
        <w:shd w:val="clear" w:color="1F3864" w:fill="1F3864"/>
        <w:spacing w:before="200" w:after="100"/>
        <w:ind w:left="200" w:right="200"/>
        <w:jc w:val="center"/>
        <w:rPr>
          <w:rFonts w:ascii="Calibri" w:hAnsi="Calibri" w:cs="Calibri"/>
        </w:rPr>
      </w:pPr>
      <w:r w:rsidRPr="007C733A">
        <w:rPr>
          <w:rFonts w:ascii="Calibri" w:hAnsi="Calibri" w:cs="Calibri"/>
          <w:b/>
          <w:bCs/>
          <w:color w:val="FFFFFF"/>
          <w:sz w:val="32"/>
          <w:szCs w:val="32"/>
        </w:rPr>
        <w:t>MINUTA EJECUTIVA — SESIÓN CAT</w:t>
      </w:r>
    </w:p>
    <w:p w14:paraId="693ACDC7" w14:textId="77777777" w:rsidR="00592F16" w:rsidRPr="007C733A" w:rsidRDefault="00B85A89">
      <w:pPr>
        <w:spacing w:before="80" w:after="300"/>
        <w:jc w:val="center"/>
        <w:rPr>
          <w:rFonts w:ascii="Calibri" w:hAnsi="Calibri" w:cs="Calibri"/>
        </w:rPr>
      </w:pPr>
      <w:r w:rsidRPr="007C733A">
        <w:rPr>
          <w:rFonts w:ascii="Calibri" w:hAnsi="Calibri" w:cs="Calibri"/>
          <w:i/>
          <w:iCs/>
          <w:color w:val="2E75B6"/>
          <w:sz w:val="22"/>
          <w:szCs w:val="22"/>
        </w:rPr>
        <w:t>Programa Unity | Mesas de Entendimiento CAT / IBR</w:t>
      </w:r>
    </w:p>
    <w:p w14:paraId="0FF54787" w14:textId="77777777" w:rsidR="00592F16" w:rsidRPr="007C733A" w:rsidRDefault="00B85A89">
      <w:pPr>
        <w:shd w:val="clear" w:color="1F3864" w:fill="1F3864"/>
        <w:spacing w:before="200" w:after="100"/>
        <w:ind w:left="100"/>
        <w:rPr>
          <w:rFonts w:ascii="Calibri" w:hAnsi="Calibri" w:cs="Calibri"/>
        </w:rPr>
      </w:pPr>
      <w:r w:rsidRPr="007C733A">
        <w:rPr>
          <w:rFonts w:ascii="Calibri" w:hAnsi="Calibri" w:cs="Calibri"/>
          <w:b/>
          <w:bCs/>
          <w:color w:val="FFFFFF"/>
          <w:sz w:val="22"/>
          <w:szCs w:val="22"/>
        </w:rPr>
        <w:t>1. Datos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92F16" w:rsidRPr="007C733A" w14:paraId="47D35255" w14:textId="77777777">
        <w:tblPrEx>
          <w:tblCellMar>
            <w:top w:w="0" w:type="dxa"/>
            <w:bottom w:w="0" w:type="dxa"/>
          </w:tblCellMar>
        </w:tblPrEx>
        <w:tc>
          <w:tcPr>
            <w:tcW w:w="2000" w:type="dxa"/>
            <w:shd w:val="clear" w:color="D6E4F0" w:fill="D6E4F0"/>
          </w:tcPr>
          <w:p w14:paraId="4FC5BFAA" w14:textId="77777777" w:rsidR="00592F16" w:rsidRPr="007C733A" w:rsidRDefault="00B85A89">
            <w:pPr>
              <w:rPr>
                <w:rFonts w:ascii="Calibri" w:hAnsi="Calibri" w:cs="Calibri"/>
              </w:rPr>
            </w:pPr>
            <w:r w:rsidRPr="007C733A">
              <w:rPr>
                <w:rFonts w:ascii="Calibri" w:hAnsi="Calibri" w:cs="Calibri"/>
                <w:b/>
                <w:bCs/>
              </w:rPr>
              <w:t>Campo</w:t>
            </w:r>
          </w:p>
        </w:tc>
        <w:tc>
          <w:tcPr>
            <w:tcW w:w="7360" w:type="dxa"/>
            <w:shd w:val="clear" w:color="D6E4F0" w:fill="D6E4F0"/>
          </w:tcPr>
          <w:p w14:paraId="7056AA62" w14:textId="77777777" w:rsidR="00592F16" w:rsidRPr="007C733A" w:rsidRDefault="00B85A89">
            <w:pPr>
              <w:rPr>
                <w:rFonts w:ascii="Calibri" w:hAnsi="Calibri" w:cs="Calibri"/>
              </w:rPr>
            </w:pPr>
            <w:r w:rsidRPr="007C733A">
              <w:rPr>
                <w:rFonts w:ascii="Calibri" w:hAnsi="Calibri" w:cs="Calibri"/>
                <w:b/>
                <w:bCs/>
              </w:rPr>
              <w:t>Detalle</w:t>
            </w:r>
          </w:p>
        </w:tc>
      </w:tr>
      <w:tr w:rsidR="00592F16" w:rsidRPr="007C733A" w14:paraId="6814395A" w14:textId="77777777">
        <w:tblPrEx>
          <w:tblCellMar>
            <w:top w:w="0" w:type="dxa"/>
            <w:bottom w:w="0" w:type="dxa"/>
          </w:tblCellMar>
        </w:tblPrEx>
        <w:tc>
          <w:tcPr>
            <w:tcW w:w="2000" w:type="dxa"/>
            <w:shd w:val="clear" w:color="FFFFFF" w:fill="FFFFFF"/>
          </w:tcPr>
          <w:p w14:paraId="110A73E7" w14:textId="77777777" w:rsidR="00592F16" w:rsidRPr="007C733A" w:rsidRDefault="00B85A89">
            <w:pPr>
              <w:spacing w:before="60" w:after="60"/>
              <w:rPr>
                <w:rFonts w:ascii="Calibri" w:hAnsi="Calibri" w:cs="Calibri"/>
              </w:rPr>
            </w:pPr>
            <w:r w:rsidRPr="007C733A">
              <w:rPr>
                <w:rFonts w:ascii="Calibri" w:hAnsi="Calibri" w:cs="Calibri"/>
              </w:rPr>
              <w:t>Fecha</w:t>
            </w:r>
          </w:p>
        </w:tc>
        <w:tc>
          <w:tcPr>
            <w:tcW w:w="7360" w:type="dxa"/>
            <w:shd w:val="clear" w:color="FFFFFF" w:fill="FFFFFF"/>
          </w:tcPr>
          <w:p w14:paraId="590D2368" w14:textId="77777777" w:rsidR="00592F16" w:rsidRPr="007C733A" w:rsidRDefault="00B85A89">
            <w:pPr>
              <w:spacing w:before="60" w:after="60"/>
              <w:rPr>
                <w:rFonts w:ascii="Calibri" w:hAnsi="Calibri" w:cs="Calibri"/>
              </w:rPr>
            </w:pPr>
            <w:r w:rsidRPr="007C733A">
              <w:rPr>
                <w:rFonts w:ascii="Calibri" w:hAnsi="Calibri" w:cs="Calibri"/>
              </w:rPr>
              <w:t>9 de julio de 2026</w:t>
            </w:r>
          </w:p>
        </w:tc>
      </w:tr>
      <w:tr w:rsidR="00592F16" w:rsidRPr="007C733A" w14:paraId="1E518779" w14:textId="77777777">
        <w:tblPrEx>
          <w:tblCellMar>
            <w:top w:w="0" w:type="dxa"/>
            <w:bottom w:w="0" w:type="dxa"/>
          </w:tblCellMar>
        </w:tblPrEx>
        <w:tc>
          <w:tcPr>
            <w:tcW w:w="2000" w:type="dxa"/>
            <w:shd w:val="clear" w:color="F2F2F2" w:fill="F2F2F2"/>
          </w:tcPr>
          <w:p w14:paraId="6AE9131A" w14:textId="77777777" w:rsidR="00592F16" w:rsidRPr="007C733A" w:rsidRDefault="00B85A89">
            <w:pPr>
              <w:spacing w:before="60" w:after="60"/>
              <w:rPr>
                <w:rFonts w:ascii="Calibri" w:hAnsi="Calibri" w:cs="Calibri"/>
              </w:rPr>
            </w:pPr>
            <w:r w:rsidRPr="007C733A">
              <w:rPr>
                <w:rFonts w:ascii="Calibri" w:hAnsi="Calibri" w:cs="Calibri"/>
              </w:rPr>
              <w:t>Sesión</w:t>
            </w:r>
          </w:p>
        </w:tc>
        <w:tc>
          <w:tcPr>
            <w:tcW w:w="7360" w:type="dxa"/>
            <w:shd w:val="clear" w:color="F2F2F2" w:fill="F2F2F2"/>
          </w:tcPr>
          <w:p w14:paraId="0A8EAB62" w14:textId="77777777" w:rsidR="00592F16" w:rsidRPr="007C733A" w:rsidRDefault="00B85A89">
            <w:pPr>
              <w:spacing w:before="60" w:after="60"/>
              <w:rPr>
                <w:rFonts w:ascii="Calibri" w:hAnsi="Calibri" w:cs="Calibri"/>
              </w:rPr>
            </w:pPr>
            <w:r w:rsidRPr="007C733A">
              <w:rPr>
                <w:rFonts w:ascii="Calibri" w:hAnsi="Calibri" w:cs="Calibri"/>
              </w:rPr>
              <w:t>Mesa de Entendimiento CAT / IBR (Sesión única)</w:t>
            </w:r>
          </w:p>
        </w:tc>
      </w:tr>
      <w:tr w:rsidR="00592F16" w:rsidRPr="007C733A" w14:paraId="2F56F497" w14:textId="77777777">
        <w:tblPrEx>
          <w:tblCellMar>
            <w:top w:w="0" w:type="dxa"/>
            <w:bottom w:w="0" w:type="dxa"/>
          </w:tblCellMar>
        </w:tblPrEx>
        <w:tc>
          <w:tcPr>
            <w:tcW w:w="2000" w:type="dxa"/>
            <w:shd w:val="clear" w:color="FFFFFF" w:fill="FFFFFF"/>
          </w:tcPr>
          <w:p w14:paraId="38C701A0" w14:textId="77777777" w:rsidR="00592F16" w:rsidRPr="007C733A" w:rsidRDefault="00B85A89">
            <w:pPr>
              <w:spacing w:before="60" w:after="60"/>
              <w:rPr>
                <w:rFonts w:ascii="Calibri" w:hAnsi="Calibri" w:cs="Calibri"/>
              </w:rPr>
            </w:pPr>
            <w:r w:rsidRPr="007C733A">
              <w:rPr>
                <w:rFonts w:ascii="Calibri" w:hAnsi="Calibri" w:cs="Calibri"/>
              </w:rPr>
              <w:t>Facilitador</w:t>
            </w:r>
          </w:p>
        </w:tc>
        <w:tc>
          <w:tcPr>
            <w:tcW w:w="7360" w:type="dxa"/>
            <w:shd w:val="clear" w:color="FFFFFF" w:fill="FFFFFF"/>
          </w:tcPr>
          <w:p w14:paraId="45963AB4" w14:textId="77777777" w:rsidR="00592F16" w:rsidRPr="007C733A" w:rsidRDefault="00B85A89">
            <w:pPr>
              <w:spacing w:before="60" w:after="60"/>
              <w:rPr>
                <w:rFonts w:ascii="Calibri" w:hAnsi="Calibri" w:cs="Calibri"/>
                <w:lang w:val="pt-BR"/>
              </w:rPr>
            </w:pPr>
            <w:r w:rsidRPr="007C733A">
              <w:rPr>
                <w:rFonts w:ascii="Calibri" w:hAnsi="Calibri" w:cs="Calibri"/>
                <w:lang w:val="pt-BR"/>
              </w:rPr>
              <w:t>Equipo BanCoppel (Sala Unity N3)</w:t>
            </w:r>
          </w:p>
        </w:tc>
      </w:tr>
      <w:tr w:rsidR="00592F16" w:rsidRPr="007C733A" w14:paraId="7DB30751" w14:textId="77777777">
        <w:tblPrEx>
          <w:tblCellMar>
            <w:top w:w="0" w:type="dxa"/>
            <w:bottom w:w="0" w:type="dxa"/>
          </w:tblCellMar>
        </w:tblPrEx>
        <w:tc>
          <w:tcPr>
            <w:tcW w:w="2000" w:type="dxa"/>
            <w:shd w:val="clear" w:color="F2F2F2" w:fill="F2F2F2"/>
          </w:tcPr>
          <w:p w14:paraId="35F21F98" w14:textId="77777777" w:rsidR="00592F16" w:rsidRPr="007C733A" w:rsidRDefault="00B85A89">
            <w:pPr>
              <w:spacing w:before="60" w:after="60"/>
              <w:rPr>
                <w:rFonts w:ascii="Calibri" w:hAnsi="Calibri" w:cs="Calibri"/>
              </w:rPr>
            </w:pPr>
            <w:r w:rsidRPr="007C733A">
              <w:rPr>
                <w:rFonts w:ascii="Calibri" w:hAnsi="Calibri" w:cs="Calibri"/>
              </w:rPr>
              <w:t>Participantes clave</w:t>
            </w:r>
          </w:p>
        </w:tc>
        <w:tc>
          <w:tcPr>
            <w:tcW w:w="7360" w:type="dxa"/>
            <w:shd w:val="clear" w:color="F2F2F2" w:fill="F2F2F2"/>
          </w:tcPr>
          <w:p w14:paraId="24B2E2C9" w14:textId="77777777" w:rsidR="00592F16" w:rsidRPr="007C733A" w:rsidRDefault="00B85A89">
            <w:pPr>
              <w:spacing w:before="60" w:after="60"/>
              <w:rPr>
                <w:rFonts w:ascii="Calibri" w:hAnsi="Calibri" w:cs="Calibri"/>
              </w:rPr>
            </w:pPr>
            <w:r w:rsidRPr="007C733A">
              <w:rPr>
                <w:rFonts w:ascii="Calibri" w:hAnsi="Calibri" w:cs="Calibri"/>
              </w:rPr>
              <w:t>Ramsés Abdiel Santos Beltrán (Arquitectura/IBR), Armando Riveros Hernández, Eduardo Guzmán González, Ignacio Cayetano Báez González, Osmar Alejandro García Jiménez, Gabriel Montoya Chavira, José Miguel Escobedo Checa, Sergio Arellano Payán, Daniela Viridiana Ramírez Pérez, Javier Alejandre Franco, Ana Cervantes (Accenture), Pablo Lorenzo Díaz (Accenture)</w:t>
            </w:r>
          </w:p>
        </w:tc>
      </w:tr>
    </w:tbl>
    <w:p w14:paraId="582CA782" w14:textId="77777777" w:rsidR="00592F16" w:rsidRPr="007C733A" w:rsidRDefault="00592F16">
      <w:pPr>
        <w:spacing w:before="200"/>
        <w:rPr>
          <w:rFonts w:ascii="Calibri" w:hAnsi="Calibri" w:cs="Calibri"/>
        </w:rPr>
      </w:pPr>
    </w:p>
    <w:p w14:paraId="44231472" w14:textId="77777777" w:rsidR="00592F16" w:rsidRPr="007C733A" w:rsidRDefault="00B85A89">
      <w:pPr>
        <w:shd w:val="clear" w:color="1F3864" w:fill="1F3864"/>
        <w:spacing w:before="200" w:after="100"/>
        <w:ind w:left="100"/>
        <w:rPr>
          <w:rFonts w:ascii="Calibri" w:hAnsi="Calibri" w:cs="Calibri"/>
        </w:rPr>
      </w:pPr>
      <w:r w:rsidRPr="007C733A">
        <w:rPr>
          <w:rFonts w:ascii="Calibri" w:hAnsi="Calibri" w:cs="Calibri"/>
          <w:b/>
          <w:bCs/>
          <w:color w:val="FFFFFF"/>
          <w:sz w:val="22"/>
          <w:szCs w:val="22"/>
        </w:rPr>
        <w:t>2. Objetivos</w:t>
      </w:r>
    </w:p>
    <w:p w14:paraId="10D43AAD" w14:textId="0AB66107" w:rsidR="00592F16" w:rsidRDefault="007C733A" w:rsidP="007C733A">
      <w:pPr>
        <w:spacing w:before="80" w:after="80"/>
        <w:ind w:left="142"/>
        <w:rPr>
          <w:rFonts w:ascii="Calibri" w:hAnsi="Calibri" w:cs="Calibri"/>
        </w:rPr>
      </w:pPr>
      <w:r w:rsidRPr="007C733A">
        <w:rPr>
          <w:rFonts w:ascii="Calibri" w:hAnsi="Calibri" w:cs="Calibri"/>
        </w:rPr>
        <w:t xml:space="preserve">Definir y alinear las reglas funcionales, operativas y técnicas para la integración del producto 4900 (Tarjeta de Crédito Clásica) en los sistemas de IBR (conmutador telefónico) e ICAT (sistema de atención al cliente), asegurando la estandarización de </w:t>
      </w:r>
      <w:proofErr w:type="spellStart"/>
      <w:r w:rsidRPr="007C733A">
        <w:rPr>
          <w:rFonts w:ascii="Calibri" w:hAnsi="Calibri" w:cs="Calibri"/>
        </w:rPr>
        <w:t>APIs</w:t>
      </w:r>
      <w:proofErr w:type="spellEnd"/>
      <w:r w:rsidRPr="007C733A">
        <w:rPr>
          <w:rFonts w:ascii="Calibri" w:hAnsi="Calibri" w:cs="Calibri"/>
        </w:rPr>
        <w:t xml:space="preserve"> de consulta, la homologación regulatoria de los estatus de tarjeta y el blindaje de los flujos de seguridad y autenticación.</w:t>
      </w:r>
    </w:p>
    <w:p w14:paraId="4CEE4454" w14:textId="73D228D0" w:rsidR="007C733A" w:rsidRPr="007C733A" w:rsidRDefault="007C733A" w:rsidP="007C733A">
      <w:pPr>
        <w:shd w:val="clear" w:color="auto" w:fill="2E4099"/>
        <w:spacing w:before="280" w:after="80"/>
        <w:ind w:left="120"/>
        <w:rPr>
          <w:rFonts w:ascii="Calibri" w:hAnsi="Calibri" w:cs="Calibri"/>
        </w:rPr>
      </w:pPr>
      <w:r>
        <w:rPr>
          <w:rFonts w:ascii="Calibri" w:hAnsi="Calibri" w:cs="Calibri"/>
          <w:b/>
          <w:bCs/>
          <w:color w:val="FFFFFF"/>
          <w:sz w:val="22"/>
          <w:szCs w:val="22"/>
        </w:rPr>
        <w:t xml:space="preserve">Observaciones del equipo de acompañamiento </w:t>
      </w:r>
      <w:proofErr w:type="gramStart"/>
      <w:r>
        <w:rPr>
          <w:rFonts w:ascii="Calibri" w:hAnsi="Calibri" w:cs="Calibri"/>
          <w:b/>
          <w:bCs/>
          <w:color w:val="FFFFFF"/>
          <w:sz w:val="22"/>
          <w:szCs w:val="22"/>
        </w:rPr>
        <w:t>técnico  |</w:t>
      </w:r>
      <w:proofErr w:type="gramEnd"/>
      <w:r>
        <w:rPr>
          <w:rFonts w:ascii="Calibri" w:hAnsi="Calibri" w:cs="Calibri"/>
          <w:b/>
          <w:bCs/>
          <w:color w:val="FFFFFF"/>
          <w:sz w:val="22"/>
          <w:szCs w:val="22"/>
        </w:rPr>
        <w:t xml:space="preserve">  Accenture </w:t>
      </w:r>
    </w:p>
    <w:p w14:paraId="5E01BB15"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b/>
          <w:bCs/>
        </w:rPr>
        <w:t xml:space="preserve">Estandarización de </w:t>
      </w:r>
      <w:proofErr w:type="spellStart"/>
      <w:r w:rsidRPr="007C733A">
        <w:rPr>
          <w:rFonts w:ascii="Calibri" w:hAnsi="Calibri" w:cs="Calibri"/>
          <w:b/>
          <w:bCs/>
        </w:rPr>
        <w:t>APIs</w:t>
      </w:r>
      <w:proofErr w:type="spellEnd"/>
      <w:r w:rsidRPr="007C733A">
        <w:rPr>
          <w:rFonts w:ascii="Calibri" w:hAnsi="Calibri" w:cs="Calibri"/>
          <w:b/>
          <w:bCs/>
        </w:rPr>
        <w:t xml:space="preserve"> como oportunidad crítica: </w:t>
      </w:r>
      <w:r w:rsidRPr="007C733A">
        <w:rPr>
          <w:rFonts w:ascii="Calibri" w:hAnsi="Calibri" w:cs="Calibri"/>
        </w:rPr>
        <w:t xml:space="preserve">La sesión evidenció que el IBR, la </w:t>
      </w:r>
      <w:proofErr w:type="gramStart"/>
      <w:r w:rsidRPr="007C733A">
        <w:rPr>
          <w:rFonts w:ascii="Calibri" w:hAnsi="Calibri" w:cs="Calibri"/>
        </w:rPr>
        <w:t>app</w:t>
      </w:r>
      <w:proofErr w:type="gramEnd"/>
      <w:r w:rsidRPr="007C733A">
        <w:rPr>
          <w:rFonts w:ascii="Calibri" w:hAnsi="Calibri" w:cs="Calibri"/>
        </w:rPr>
        <w:t xml:space="preserve"> y la web podrían estar duplicando lógica de consulta de saldos y movimientos con diferentes </w:t>
      </w:r>
      <w:proofErr w:type="spellStart"/>
      <w:r w:rsidRPr="007C733A">
        <w:rPr>
          <w:rFonts w:ascii="Calibri" w:hAnsi="Calibri" w:cs="Calibri"/>
        </w:rPr>
        <w:t>APIs</w:t>
      </w:r>
      <w:proofErr w:type="spellEnd"/>
      <w:r w:rsidRPr="007C733A">
        <w:rPr>
          <w:rFonts w:ascii="Calibri" w:hAnsi="Calibri" w:cs="Calibri"/>
        </w:rPr>
        <w:t>. Estandarizar en una sola API por funcionalidad es condición necesaria para el mantenimiento a largo plazo y para evitar inconsistencias en la experiencia del cliente.</w:t>
      </w:r>
    </w:p>
    <w:p w14:paraId="037307F3"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b/>
          <w:bCs/>
        </w:rPr>
        <w:t xml:space="preserve">Flujo de aclaraciones sin definir: </w:t>
      </w:r>
      <w:r w:rsidRPr="007C733A">
        <w:rPr>
          <w:rFonts w:ascii="Calibri" w:hAnsi="Calibri" w:cs="Calibri"/>
        </w:rPr>
        <w:t>No existe un flujo operativo claro para el manejo de cargos no reconocidos en el IBR, ni para tarjetas físicas ni digitales. Este gap debe ser resuelto con el área operativa de aclaraciones antes de cerrar el diseño funcional del canal.</w:t>
      </w:r>
    </w:p>
    <w:p w14:paraId="6F04974B" w14:textId="77777777" w:rsidR="00592F16" w:rsidRPr="007C733A" w:rsidRDefault="00B85A89">
      <w:pPr>
        <w:pStyle w:val="ListParagraph"/>
        <w:numPr>
          <w:ilvl w:val="0"/>
          <w:numId w:val="1"/>
        </w:numPr>
        <w:spacing w:before="60" w:after="60"/>
        <w:rPr>
          <w:rFonts w:ascii="Calibri" w:hAnsi="Calibri" w:cs="Calibri"/>
        </w:rPr>
      </w:pPr>
      <w:proofErr w:type="spellStart"/>
      <w:r w:rsidRPr="007C733A">
        <w:rPr>
          <w:rFonts w:ascii="Calibri" w:hAnsi="Calibri" w:cs="Calibri"/>
          <w:b/>
          <w:bCs/>
        </w:rPr>
        <w:t>Ownership</w:t>
      </w:r>
      <w:proofErr w:type="spellEnd"/>
      <w:r w:rsidRPr="007C733A">
        <w:rPr>
          <w:rFonts w:ascii="Calibri" w:hAnsi="Calibri" w:cs="Calibri"/>
          <w:b/>
          <w:bCs/>
        </w:rPr>
        <w:t xml:space="preserve"> difuso en próximos pasos: </w:t>
      </w:r>
      <w:r w:rsidRPr="007C733A">
        <w:rPr>
          <w:rFonts w:ascii="Calibri" w:hAnsi="Calibri" w:cs="Calibri"/>
        </w:rPr>
        <w:t>Varias acciones quedaron asignadas a 'El grupo' sin responsable nominal. Se requiere asignación individual antes del cierre de semana para asegurar trazabilidad.</w:t>
      </w:r>
    </w:p>
    <w:p w14:paraId="1E2D03EC"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b/>
          <w:bCs/>
        </w:rPr>
        <w:t xml:space="preserve">Riesgo de integridad de datos en vistas de cuenta: </w:t>
      </w:r>
      <w:r w:rsidRPr="007C733A">
        <w:rPr>
          <w:rFonts w:ascii="Calibri" w:hAnsi="Calibri" w:cs="Calibri"/>
        </w:rPr>
        <w:t>Datos como nombre de sucursal y nombre de gerente aparecen en blanco en las pantallas actuales. La fuente de origen en el sistema legado no ha sido identificada, lo que puede impactar la experiencia del agente en ICAT.</w:t>
      </w:r>
    </w:p>
    <w:p w14:paraId="3FFC28F6"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b/>
          <w:bCs/>
        </w:rPr>
        <w:t xml:space="preserve">Estatus 21 como dependencia no resuelta: </w:t>
      </w:r>
      <w:r w:rsidRPr="007C733A">
        <w:rPr>
          <w:rFonts w:ascii="Calibri" w:hAnsi="Calibri" w:cs="Calibri"/>
        </w:rPr>
        <w:t>El comportamiento del estatus 21 (bloqueo operativo por fraude) no ha sido validado en todos los canales. Sin esta validación, el flujo de cancelación y bloqueo del producto 4900 no puede cerrarse.</w:t>
      </w:r>
    </w:p>
    <w:p w14:paraId="47BC2FFF" w14:textId="77777777" w:rsidR="00592F16" w:rsidRPr="007C733A" w:rsidRDefault="00592F16">
      <w:pPr>
        <w:spacing w:before="200"/>
        <w:rPr>
          <w:rFonts w:ascii="Calibri" w:hAnsi="Calibri" w:cs="Calibri"/>
        </w:rPr>
      </w:pPr>
    </w:p>
    <w:p w14:paraId="198A202E" w14:textId="77777777" w:rsidR="00592F16" w:rsidRPr="007C733A" w:rsidRDefault="00B85A89">
      <w:pPr>
        <w:shd w:val="clear" w:color="1F3864" w:fill="1F3864"/>
        <w:spacing w:before="200" w:after="100"/>
        <w:ind w:left="100"/>
        <w:rPr>
          <w:rFonts w:ascii="Calibri" w:hAnsi="Calibri" w:cs="Calibri"/>
        </w:rPr>
      </w:pPr>
      <w:r w:rsidRPr="007C733A">
        <w:rPr>
          <w:rFonts w:ascii="Calibri" w:hAnsi="Calibri" w:cs="Calibri"/>
          <w:b/>
          <w:bCs/>
          <w:color w:val="FFFFFF"/>
          <w:sz w:val="22"/>
          <w:szCs w:val="22"/>
        </w:rPr>
        <w:t>3. Puntos clave discutidos</w:t>
      </w:r>
    </w:p>
    <w:p w14:paraId="630156AE"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b/>
          <w:bCs/>
        </w:rPr>
        <w:t xml:space="preserve">Alcance de la integración del producto 4900: </w:t>
      </w:r>
      <w:r w:rsidRPr="007C733A">
        <w:rPr>
          <w:rFonts w:ascii="Calibri" w:hAnsi="Calibri" w:cs="Calibri"/>
        </w:rPr>
        <w:t>La sesión no implica la creación de un sistema nuevo, sino la adaptación del IBR e ICAT para reconocer el producto 4900 (TDC Clásica). El IBR debe distinguir entre números de crédito de 12 dígitos (legado) y los de 18 dígitos (clave interbancaria) del nuevo producto. Para el producto 4900, el número de crédito y la clave interbancaria son idénticos.</w:t>
      </w:r>
    </w:p>
    <w:p w14:paraId="45674679"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b/>
          <w:bCs/>
        </w:rPr>
        <w:lastRenderedPageBreak/>
        <w:t xml:space="preserve">Flujo de reporte por robo/extravío y autenticación: </w:t>
      </w:r>
      <w:r w:rsidRPr="007C733A">
        <w:rPr>
          <w:rFonts w:ascii="Calibri" w:hAnsi="Calibri" w:cs="Calibri"/>
        </w:rPr>
        <w:t>El IBR permite cancelación automática del plástico si el cliente ingresa sus datos correctamente. La autenticación se realiza mediante confirmación del número telefónico vía SMS. Si el cliente llama desde un número no registrado, la llamada se transfiere a un ejecutivo del ICAT para validación adicional por preguntas de seguridad. Para tarjetas digitales, se propone manejar únicamente el flujo de 'cancelación' (no robo/extravío) para evitar confusiones de estatus.</w:t>
      </w:r>
    </w:p>
    <w:p w14:paraId="0EE1C758" w14:textId="77777777" w:rsidR="007C733A" w:rsidRPr="007C733A" w:rsidRDefault="007C733A">
      <w:pPr>
        <w:pStyle w:val="ListParagraph"/>
        <w:numPr>
          <w:ilvl w:val="0"/>
          <w:numId w:val="1"/>
        </w:numPr>
        <w:spacing w:before="60" w:after="60"/>
        <w:rPr>
          <w:rFonts w:ascii="Calibri" w:hAnsi="Calibri" w:cs="Calibri"/>
        </w:rPr>
      </w:pPr>
      <w:r w:rsidRPr="007C733A">
        <w:rPr>
          <w:rFonts w:ascii="Calibri" w:hAnsi="Calibri" w:cs="Calibri"/>
          <w:b/>
          <w:bCs/>
        </w:rPr>
        <w:t xml:space="preserve">Estrategia y Orquestación de Estatus de Tarjetas: </w:t>
      </w:r>
      <w:r w:rsidRPr="007C733A">
        <w:rPr>
          <w:rFonts w:ascii="Calibri" w:hAnsi="Calibri" w:cs="Calibri"/>
        </w:rPr>
        <w:t xml:space="preserve">Se debatió la necesidad de separar las etapas de eliminación y generación de tarjetas para proteger la integridad de sus estatus en el </w:t>
      </w:r>
      <w:proofErr w:type="spellStart"/>
      <w:r w:rsidRPr="007C733A">
        <w:rPr>
          <w:rFonts w:ascii="Calibri" w:hAnsi="Calibri" w:cs="Calibri"/>
        </w:rPr>
        <w:t>core</w:t>
      </w:r>
      <w:proofErr w:type="spellEnd"/>
      <w:r w:rsidRPr="007C733A">
        <w:rPr>
          <w:rFonts w:ascii="Calibri" w:hAnsi="Calibri" w:cs="Calibri"/>
        </w:rPr>
        <w:t>. Asimismo, se acordó consolidar y estandarizar los catálogos visualizados por los canales (como el estatus 20 para bloqueo temporal, 21 para bloqueo operativo por fraude y 43 para cancelación) para mantener la consistencia operativa.</w:t>
      </w:r>
    </w:p>
    <w:p w14:paraId="06FC5711" w14:textId="0C78BC70"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b/>
          <w:bCs/>
        </w:rPr>
        <w:t xml:space="preserve">Flujo de aclaraciones (cargos no reconocidos): </w:t>
      </w:r>
      <w:r w:rsidRPr="007C733A">
        <w:rPr>
          <w:rFonts w:ascii="Calibri" w:hAnsi="Calibri" w:cs="Calibri"/>
        </w:rPr>
        <w:t>No existe actualmente un flujo automatizado para aclaraciones en el IBR. El área operativa de aclaraciones debe definir los requerimientos para tarjetas físicas y digitales antes de diseñar la integración. Este punto quedó como acción pendiente sin responsable definido.</w:t>
      </w:r>
    </w:p>
    <w:p w14:paraId="19A4E512"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b/>
          <w:bCs/>
        </w:rPr>
        <w:t xml:space="preserve">Estandarización de </w:t>
      </w:r>
      <w:proofErr w:type="spellStart"/>
      <w:r w:rsidRPr="007C733A">
        <w:rPr>
          <w:rFonts w:ascii="Calibri" w:hAnsi="Calibri" w:cs="Calibri"/>
          <w:b/>
          <w:bCs/>
        </w:rPr>
        <w:t>APIs</w:t>
      </w:r>
      <w:proofErr w:type="spellEnd"/>
      <w:r w:rsidRPr="007C733A">
        <w:rPr>
          <w:rFonts w:ascii="Calibri" w:hAnsi="Calibri" w:cs="Calibri"/>
          <w:b/>
          <w:bCs/>
        </w:rPr>
        <w:t xml:space="preserve"> por canal: </w:t>
      </w:r>
      <w:r w:rsidRPr="007C733A">
        <w:rPr>
          <w:rFonts w:ascii="Calibri" w:hAnsi="Calibri" w:cs="Calibri"/>
        </w:rPr>
        <w:t xml:space="preserve">Se acordó que el IBR debe utilizar las mismas </w:t>
      </w:r>
      <w:proofErr w:type="spellStart"/>
      <w:r w:rsidRPr="007C733A">
        <w:rPr>
          <w:rFonts w:ascii="Calibri" w:hAnsi="Calibri" w:cs="Calibri"/>
        </w:rPr>
        <w:t>APIs</w:t>
      </w:r>
      <w:proofErr w:type="spellEnd"/>
      <w:r w:rsidRPr="007C733A">
        <w:rPr>
          <w:rFonts w:ascii="Calibri" w:hAnsi="Calibri" w:cs="Calibri"/>
        </w:rPr>
        <w:t xml:space="preserve"> que la </w:t>
      </w:r>
      <w:proofErr w:type="gramStart"/>
      <w:r w:rsidRPr="007C733A">
        <w:rPr>
          <w:rFonts w:ascii="Calibri" w:hAnsi="Calibri" w:cs="Calibri"/>
        </w:rPr>
        <w:t>app</w:t>
      </w:r>
      <w:proofErr w:type="gramEnd"/>
      <w:r w:rsidRPr="007C733A">
        <w:rPr>
          <w:rFonts w:ascii="Calibri" w:hAnsi="Calibri" w:cs="Calibri"/>
        </w:rPr>
        <w:t xml:space="preserve"> y la web para evitar duplicidad de funciones y facilitar el mantenimiento. Para consulta de movimientos se propone alinear el uso de la API '</w:t>
      </w:r>
      <w:proofErr w:type="spellStart"/>
      <w:r w:rsidRPr="007C733A">
        <w:rPr>
          <w:rFonts w:ascii="Calibri" w:hAnsi="Calibri" w:cs="Calibri"/>
        </w:rPr>
        <w:t>Retrieve</w:t>
      </w:r>
      <w:proofErr w:type="spellEnd"/>
      <w:r w:rsidRPr="007C733A">
        <w:rPr>
          <w:rFonts w:ascii="Calibri" w:hAnsi="Calibri" w:cs="Calibri"/>
        </w:rPr>
        <w:t xml:space="preserve"> Credit Card </w:t>
      </w:r>
      <w:proofErr w:type="spellStart"/>
      <w:r w:rsidRPr="007C733A">
        <w:rPr>
          <w:rFonts w:ascii="Calibri" w:hAnsi="Calibri" w:cs="Calibri"/>
        </w:rPr>
        <w:t>Transaction</w:t>
      </w:r>
      <w:proofErr w:type="spellEnd"/>
      <w:r w:rsidRPr="007C733A">
        <w:rPr>
          <w:rFonts w:ascii="Calibri" w:hAnsi="Calibri" w:cs="Calibri"/>
        </w:rPr>
        <w:t>'. Para saldos, se mencionó la API 'Credit Card Position Keeping' y '</w:t>
      </w:r>
      <w:proofErr w:type="spellStart"/>
      <w:r w:rsidRPr="007C733A">
        <w:rPr>
          <w:rFonts w:ascii="Calibri" w:hAnsi="Calibri" w:cs="Calibri"/>
        </w:rPr>
        <w:t>Retrieve</w:t>
      </w:r>
      <w:proofErr w:type="spellEnd"/>
      <w:r w:rsidRPr="007C733A">
        <w:rPr>
          <w:rFonts w:ascii="Calibri" w:hAnsi="Calibri" w:cs="Calibri"/>
        </w:rPr>
        <w:t xml:space="preserve"> Credit Card </w:t>
      </w:r>
      <w:proofErr w:type="spellStart"/>
      <w:r w:rsidRPr="007C733A">
        <w:rPr>
          <w:rFonts w:ascii="Calibri" w:hAnsi="Calibri" w:cs="Calibri"/>
        </w:rPr>
        <w:t>Statement</w:t>
      </w:r>
      <w:proofErr w:type="spellEnd"/>
      <w:r w:rsidRPr="007C733A">
        <w:rPr>
          <w:rFonts w:ascii="Calibri" w:hAnsi="Calibri" w:cs="Calibri"/>
        </w:rPr>
        <w:t>'. La lógica de búsqueda de movimientos debe diferenciar entre tarjetas con y sin corte, usando la fecha de apertura o de corte como referencia.</w:t>
      </w:r>
    </w:p>
    <w:p w14:paraId="65F4985D"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b/>
          <w:bCs/>
        </w:rPr>
        <w:t xml:space="preserve">Estado de cuenta y envío por correo: </w:t>
      </w:r>
      <w:r w:rsidRPr="007C733A">
        <w:rPr>
          <w:rFonts w:ascii="Calibri" w:hAnsi="Calibri" w:cs="Calibri"/>
        </w:rPr>
        <w:t xml:space="preserve">El IBR envía el estado de cuenta si el número telefónico del cliente está confirmado, utilizando el servicio de </w:t>
      </w:r>
      <w:proofErr w:type="spellStart"/>
      <w:r w:rsidRPr="007C733A">
        <w:rPr>
          <w:rFonts w:ascii="Calibri" w:hAnsi="Calibri" w:cs="Calibri"/>
        </w:rPr>
        <w:t>Interfactura</w:t>
      </w:r>
      <w:proofErr w:type="spellEnd"/>
      <w:r w:rsidRPr="007C733A">
        <w:rPr>
          <w:rFonts w:ascii="Calibri" w:hAnsi="Calibri" w:cs="Calibri"/>
        </w:rPr>
        <w:t xml:space="preserve"> (verificar correo registrado → acceder al servicio web → recuperar PDF → cifrarlo → enviarlo con contraseña). La inclusión de la consulta de estados de cuenta en el alcance del IBR estaba bajo evaluación. Ramsés Abdiel Santos Beltrán se comprometió a confirmar el flujo actual y los detalles de validación.</w:t>
      </w:r>
    </w:p>
    <w:p w14:paraId="738603CB" w14:textId="350B9181" w:rsidR="00592F16" w:rsidRDefault="007C733A">
      <w:pPr>
        <w:pStyle w:val="ListParagraph"/>
        <w:numPr>
          <w:ilvl w:val="0"/>
          <w:numId w:val="1"/>
        </w:numPr>
        <w:spacing w:before="60" w:after="60"/>
        <w:rPr>
          <w:rFonts w:ascii="Calibri" w:hAnsi="Calibri" w:cs="Calibri"/>
        </w:rPr>
      </w:pPr>
      <w:r w:rsidRPr="007C733A">
        <w:rPr>
          <w:rFonts w:ascii="Calibri" w:hAnsi="Calibri" w:cs="Calibri"/>
          <w:b/>
          <w:bCs/>
        </w:rPr>
        <w:t>Vacíos de Información en Pantallas Front-</w:t>
      </w:r>
      <w:proofErr w:type="spellStart"/>
      <w:r w:rsidRPr="007C733A">
        <w:rPr>
          <w:rFonts w:ascii="Calibri" w:hAnsi="Calibri" w:cs="Calibri"/>
          <w:b/>
          <w:bCs/>
        </w:rPr>
        <w:t>end</w:t>
      </w:r>
      <w:proofErr w:type="spellEnd"/>
      <w:r w:rsidRPr="007C733A">
        <w:rPr>
          <w:rFonts w:ascii="Calibri" w:hAnsi="Calibri" w:cs="Calibri"/>
          <w:b/>
          <w:bCs/>
        </w:rPr>
        <w:t>:</w:t>
      </w:r>
      <w:r w:rsidRPr="007C733A">
        <w:rPr>
          <w:rFonts w:ascii="Calibri" w:hAnsi="Calibri" w:cs="Calibri"/>
        </w:rPr>
        <w:t xml:space="preserve"> Se detectó que campos críticos como el nombre de la sucursal y el nombre del gerente se despliegan en blanco en las vistas de cuenta actuales. Debido a que la API de transacciones no cuenta con estos parámetros nativos, se acordó investigar la base de datos original en el sistema legado para su correcta extracción.</w:t>
      </w:r>
    </w:p>
    <w:p w14:paraId="774C850B" w14:textId="2FB63494" w:rsidR="00592F16" w:rsidRPr="007C733A" w:rsidRDefault="007C733A" w:rsidP="007C733A">
      <w:pPr>
        <w:pStyle w:val="ListParagraph"/>
        <w:numPr>
          <w:ilvl w:val="0"/>
          <w:numId w:val="1"/>
        </w:numPr>
        <w:spacing w:before="60" w:after="60"/>
        <w:rPr>
          <w:rFonts w:ascii="Calibri" w:hAnsi="Calibri" w:cs="Calibri"/>
        </w:rPr>
      </w:pPr>
      <w:r>
        <w:rPr>
          <w:rFonts w:ascii="Calibri" w:hAnsi="Calibri" w:cs="Calibri"/>
          <w:b/>
          <w:bCs/>
        </w:rPr>
        <w:t>V</w:t>
      </w:r>
      <w:r w:rsidRPr="007C733A">
        <w:rPr>
          <w:rFonts w:ascii="Calibri" w:hAnsi="Calibri" w:cs="Calibri"/>
          <w:b/>
          <w:bCs/>
        </w:rPr>
        <w:t>ulnerabilidad en el Flujo de Aclaraciones:</w:t>
      </w:r>
      <w:r w:rsidRPr="007C733A">
        <w:rPr>
          <w:rFonts w:ascii="Calibri" w:hAnsi="Calibri" w:cs="Calibri"/>
        </w:rPr>
        <w:t xml:space="preserve"> El equipo manifestó su preocupación ante la falta de un flujo claro y automatizado dentro del área de aclaraciones para el procesamiento de cargos no reconocidos en tarjetas físicas y digitales, urgiendo la integración inmediata de las áreas operativas correspondientes.</w:t>
      </w:r>
    </w:p>
    <w:p w14:paraId="4D98F267" w14:textId="77777777" w:rsidR="00592F16" w:rsidRPr="007C733A" w:rsidRDefault="00B85A89">
      <w:pPr>
        <w:shd w:val="clear" w:color="1F3864" w:fill="1F3864"/>
        <w:spacing w:before="200" w:after="100"/>
        <w:ind w:left="100"/>
        <w:rPr>
          <w:rFonts w:ascii="Calibri" w:hAnsi="Calibri" w:cs="Calibri"/>
        </w:rPr>
      </w:pPr>
      <w:r w:rsidRPr="007C733A">
        <w:rPr>
          <w:rFonts w:ascii="Calibri" w:hAnsi="Calibri" w:cs="Calibri"/>
          <w:b/>
          <w:bCs/>
          <w:color w:val="FFFFFF"/>
          <w:sz w:val="22"/>
          <w:szCs w:val="22"/>
        </w:rPr>
        <w:t>4. Decisiones tomadas</w:t>
      </w:r>
    </w:p>
    <w:p w14:paraId="7F98398C"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rPr>
        <w:t>Integración del producto 4900 en IBR e ICAT confirmada como adaptación de canales existentes, sin desarrollo de nuevos sistemas.</w:t>
      </w:r>
    </w:p>
    <w:p w14:paraId="0DE4B1CA"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rPr>
        <w:t>Para tarjetas digitales en el IBR: el flujo será únicamente de 'cancelación', no de 'robo/extravío', para evitar confusiones de estatus.</w:t>
      </w:r>
    </w:p>
    <w:p w14:paraId="198544AA"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rPr>
        <w:t>Si un cliente con tarjeta digital contacta el IBR, la llamada se transfiere al ejecutivo del ICAT para gestión manual.</w:t>
      </w:r>
    </w:p>
    <w:p w14:paraId="28A7DCAA"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rPr>
        <w:t xml:space="preserve">El IBR utilizará las mismas </w:t>
      </w:r>
      <w:proofErr w:type="spellStart"/>
      <w:r w:rsidRPr="007C733A">
        <w:rPr>
          <w:rFonts w:ascii="Calibri" w:hAnsi="Calibri" w:cs="Calibri"/>
        </w:rPr>
        <w:t>APIs</w:t>
      </w:r>
      <w:proofErr w:type="spellEnd"/>
      <w:r w:rsidRPr="007C733A">
        <w:rPr>
          <w:rFonts w:ascii="Calibri" w:hAnsi="Calibri" w:cs="Calibri"/>
        </w:rPr>
        <w:t xml:space="preserve"> que la </w:t>
      </w:r>
      <w:proofErr w:type="gramStart"/>
      <w:r w:rsidRPr="007C733A">
        <w:rPr>
          <w:rFonts w:ascii="Calibri" w:hAnsi="Calibri" w:cs="Calibri"/>
        </w:rPr>
        <w:t>app</w:t>
      </w:r>
      <w:proofErr w:type="gramEnd"/>
      <w:r w:rsidRPr="007C733A">
        <w:rPr>
          <w:rFonts w:ascii="Calibri" w:hAnsi="Calibri" w:cs="Calibri"/>
        </w:rPr>
        <w:t xml:space="preserve"> y la web para consulta de saldos y movimientos (estandarización de </w:t>
      </w:r>
      <w:proofErr w:type="spellStart"/>
      <w:r w:rsidRPr="007C733A">
        <w:rPr>
          <w:rFonts w:ascii="Calibri" w:hAnsi="Calibri" w:cs="Calibri"/>
        </w:rPr>
        <w:t>APIs</w:t>
      </w:r>
      <w:proofErr w:type="spellEnd"/>
      <w:r w:rsidRPr="007C733A">
        <w:rPr>
          <w:rFonts w:ascii="Calibri" w:hAnsi="Calibri" w:cs="Calibri"/>
        </w:rPr>
        <w:t xml:space="preserve"> por canal).</w:t>
      </w:r>
    </w:p>
    <w:p w14:paraId="4AC9345B"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rPr>
        <w:t>La consulta de movimientos se realizará por número de cuenta clave (no solo por número de tarjeta) para capturar todos los movimientos incluyendo disposiciones y comisiones.</w:t>
      </w:r>
    </w:p>
    <w:p w14:paraId="23EA75A8" w14:textId="77777777" w:rsidR="00592F16" w:rsidRPr="007C733A" w:rsidRDefault="00B85A89">
      <w:pPr>
        <w:pStyle w:val="ListParagraph"/>
        <w:numPr>
          <w:ilvl w:val="0"/>
          <w:numId w:val="1"/>
        </w:numPr>
        <w:spacing w:before="60" w:after="60"/>
        <w:rPr>
          <w:rFonts w:ascii="Calibri" w:hAnsi="Calibri" w:cs="Calibri"/>
        </w:rPr>
      </w:pPr>
      <w:r w:rsidRPr="007C733A">
        <w:rPr>
          <w:rFonts w:ascii="Calibri" w:hAnsi="Calibri" w:cs="Calibri"/>
        </w:rPr>
        <w:t>Los saldos al corte y la tabla pivote del estado de cuenta estarán disponibles en el IBR condicionados a la confirmación del número telefónico del cliente.</w:t>
      </w:r>
    </w:p>
    <w:p w14:paraId="74B06566" w14:textId="77777777" w:rsidR="00592F16" w:rsidRPr="007C733A" w:rsidRDefault="00592F16">
      <w:pPr>
        <w:spacing w:before="200"/>
        <w:rPr>
          <w:rFonts w:ascii="Calibri" w:hAnsi="Calibri" w:cs="Calibri"/>
        </w:rPr>
      </w:pPr>
    </w:p>
    <w:p w14:paraId="2E2F032D" w14:textId="77777777" w:rsidR="00592F16" w:rsidRPr="007C733A" w:rsidRDefault="00B85A89">
      <w:pPr>
        <w:shd w:val="clear" w:color="1F3864" w:fill="1F3864"/>
        <w:spacing w:before="200" w:after="100"/>
        <w:ind w:left="100"/>
        <w:rPr>
          <w:rFonts w:ascii="Calibri" w:hAnsi="Calibri" w:cs="Calibri"/>
        </w:rPr>
      </w:pPr>
      <w:r w:rsidRPr="007C733A">
        <w:rPr>
          <w:rFonts w:ascii="Calibri" w:hAnsi="Calibri" w:cs="Calibri"/>
          <w:b/>
          <w:bCs/>
          <w:color w:val="FFFFFF"/>
          <w:sz w:val="22"/>
          <w:szCs w:val="22"/>
        </w:rPr>
        <w:t>5. Puntos abiertos y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880"/>
        <w:gridCol w:w="1680"/>
      </w:tblGrid>
      <w:tr w:rsidR="00592F16" w:rsidRPr="007C733A" w14:paraId="6FFBE9E5" w14:textId="77777777">
        <w:tblPrEx>
          <w:tblCellMar>
            <w:top w:w="0" w:type="dxa"/>
            <w:bottom w:w="0" w:type="dxa"/>
          </w:tblCellMar>
        </w:tblPrEx>
        <w:tc>
          <w:tcPr>
            <w:tcW w:w="4800" w:type="dxa"/>
            <w:shd w:val="clear" w:color="1F3864" w:fill="1F3864"/>
          </w:tcPr>
          <w:p w14:paraId="5C999868" w14:textId="77777777" w:rsidR="00592F16" w:rsidRPr="007C733A" w:rsidRDefault="00B85A89">
            <w:pPr>
              <w:rPr>
                <w:rFonts w:ascii="Calibri" w:hAnsi="Calibri" w:cs="Calibri"/>
              </w:rPr>
            </w:pPr>
            <w:r w:rsidRPr="007C733A">
              <w:rPr>
                <w:rFonts w:ascii="Calibri" w:hAnsi="Calibri" w:cs="Calibri"/>
                <w:b/>
                <w:bCs/>
                <w:color w:val="FFFFFF"/>
              </w:rPr>
              <w:lastRenderedPageBreak/>
              <w:t>Punto</w:t>
            </w:r>
          </w:p>
        </w:tc>
        <w:tc>
          <w:tcPr>
            <w:tcW w:w="2880" w:type="dxa"/>
            <w:shd w:val="clear" w:color="1F3864" w:fill="1F3864"/>
          </w:tcPr>
          <w:p w14:paraId="0B78BD6E" w14:textId="77777777" w:rsidR="00592F16" w:rsidRPr="007C733A" w:rsidRDefault="00B85A89">
            <w:pPr>
              <w:rPr>
                <w:rFonts w:ascii="Calibri" w:hAnsi="Calibri" w:cs="Calibri"/>
              </w:rPr>
            </w:pPr>
            <w:r w:rsidRPr="007C733A">
              <w:rPr>
                <w:rFonts w:ascii="Calibri" w:hAnsi="Calibri" w:cs="Calibri"/>
                <w:b/>
                <w:bCs/>
                <w:color w:val="FFFFFF"/>
              </w:rPr>
              <w:t>Responsable</w:t>
            </w:r>
          </w:p>
        </w:tc>
        <w:tc>
          <w:tcPr>
            <w:tcW w:w="1680" w:type="dxa"/>
            <w:shd w:val="clear" w:color="1F3864" w:fill="1F3864"/>
          </w:tcPr>
          <w:p w14:paraId="3207CACD" w14:textId="77777777" w:rsidR="00592F16" w:rsidRPr="007C733A" w:rsidRDefault="00B85A89">
            <w:pPr>
              <w:rPr>
                <w:rFonts w:ascii="Calibri" w:hAnsi="Calibri" w:cs="Calibri"/>
              </w:rPr>
            </w:pPr>
            <w:r w:rsidRPr="007C733A">
              <w:rPr>
                <w:rFonts w:ascii="Calibri" w:hAnsi="Calibri" w:cs="Calibri"/>
                <w:b/>
                <w:bCs/>
                <w:color w:val="FFFFFF"/>
              </w:rPr>
              <w:t>Fecha compromiso</w:t>
            </w:r>
          </w:p>
        </w:tc>
      </w:tr>
      <w:tr w:rsidR="00592F16" w:rsidRPr="007C733A" w14:paraId="73446D9C" w14:textId="77777777">
        <w:tblPrEx>
          <w:tblCellMar>
            <w:top w:w="0" w:type="dxa"/>
            <w:bottom w:w="0" w:type="dxa"/>
          </w:tblCellMar>
        </w:tblPrEx>
        <w:tc>
          <w:tcPr>
            <w:tcW w:w="4800" w:type="dxa"/>
            <w:shd w:val="clear" w:color="FFFFFF" w:fill="FFFFFF"/>
          </w:tcPr>
          <w:p w14:paraId="2E48E4B6" w14:textId="77777777" w:rsidR="00592F16" w:rsidRPr="007C733A" w:rsidRDefault="00B85A89">
            <w:pPr>
              <w:spacing w:before="60" w:after="60"/>
              <w:rPr>
                <w:rFonts w:ascii="Calibri" w:hAnsi="Calibri" w:cs="Calibri"/>
              </w:rPr>
            </w:pPr>
            <w:r w:rsidRPr="007C733A">
              <w:rPr>
                <w:rFonts w:ascii="Calibri" w:hAnsi="Calibri" w:cs="Calibri"/>
              </w:rPr>
              <w:t>Definir requerimientos operativos para el manejo de cargos no reconocidos (aclaraciones) en tarjetas físicas y digitales, e identificar flujo de integración con el área de aclaraciones</w:t>
            </w:r>
          </w:p>
        </w:tc>
        <w:tc>
          <w:tcPr>
            <w:tcW w:w="2880" w:type="dxa"/>
            <w:shd w:val="clear" w:color="FFFFFF" w:fill="FFFFFF"/>
          </w:tcPr>
          <w:p w14:paraId="3D7AF0F6" w14:textId="77777777" w:rsidR="00592F16" w:rsidRPr="007C733A" w:rsidRDefault="00B85A89">
            <w:pPr>
              <w:spacing w:before="60" w:after="60"/>
              <w:rPr>
                <w:rFonts w:ascii="Calibri" w:hAnsi="Calibri" w:cs="Calibri"/>
              </w:rPr>
            </w:pPr>
            <w:r w:rsidRPr="007C733A">
              <w:rPr>
                <w:rFonts w:ascii="Calibri" w:hAnsi="Calibri" w:cs="Calibri"/>
              </w:rPr>
              <w:t>El grupo</w:t>
            </w:r>
          </w:p>
        </w:tc>
        <w:tc>
          <w:tcPr>
            <w:tcW w:w="1680" w:type="dxa"/>
            <w:shd w:val="clear" w:color="FFFFFF" w:fill="FFFFFF"/>
          </w:tcPr>
          <w:p w14:paraId="307AD4DA" w14:textId="77777777" w:rsidR="00592F16" w:rsidRPr="007C733A" w:rsidRDefault="00B85A89">
            <w:pPr>
              <w:spacing w:before="60" w:after="60"/>
              <w:rPr>
                <w:rFonts w:ascii="Calibri" w:hAnsi="Calibri" w:cs="Calibri"/>
              </w:rPr>
            </w:pPr>
            <w:r w:rsidRPr="007C733A">
              <w:rPr>
                <w:rFonts w:ascii="Calibri" w:hAnsi="Calibri" w:cs="Calibri"/>
              </w:rPr>
              <w:t>Por definir</w:t>
            </w:r>
          </w:p>
        </w:tc>
      </w:tr>
      <w:tr w:rsidR="00592F16" w:rsidRPr="007C733A" w14:paraId="5216E4FE" w14:textId="77777777">
        <w:tblPrEx>
          <w:tblCellMar>
            <w:top w:w="0" w:type="dxa"/>
            <w:bottom w:w="0" w:type="dxa"/>
          </w:tblCellMar>
        </w:tblPrEx>
        <w:tc>
          <w:tcPr>
            <w:tcW w:w="4800" w:type="dxa"/>
            <w:shd w:val="clear" w:color="F2F2F2" w:fill="F2F2F2"/>
          </w:tcPr>
          <w:p w14:paraId="232DDF47" w14:textId="77777777" w:rsidR="00592F16" w:rsidRPr="007C733A" w:rsidRDefault="00B85A89">
            <w:pPr>
              <w:spacing w:before="60" w:after="60"/>
              <w:rPr>
                <w:rFonts w:ascii="Calibri" w:hAnsi="Calibri" w:cs="Calibri"/>
              </w:rPr>
            </w:pPr>
            <w:r w:rsidRPr="007C733A">
              <w:rPr>
                <w:rFonts w:ascii="Calibri" w:hAnsi="Calibri" w:cs="Calibri"/>
              </w:rPr>
              <w:t>Validar estatus 21 (bloqueo operativo por fraude) en tarjetas a través de todos los canales (ICA, App, Web). Garantizar que la lógica responda correctamente en cada canal</w:t>
            </w:r>
          </w:p>
        </w:tc>
        <w:tc>
          <w:tcPr>
            <w:tcW w:w="2880" w:type="dxa"/>
            <w:shd w:val="clear" w:color="F2F2F2" w:fill="F2F2F2"/>
          </w:tcPr>
          <w:p w14:paraId="31DB65F5" w14:textId="77777777" w:rsidR="00592F16" w:rsidRPr="007C733A" w:rsidRDefault="00B85A89">
            <w:pPr>
              <w:spacing w:before="60" w:after="60"/>
              <w:rPr>
                <w:rFonts w:ascii="Calibri" w:hAnsi="Calibri" w:cs="Calibri"/>
              </w:rPr>
            </w:pPr>
            <w:r w:rsidRPr="007C733A">
              <w:rPr>
                <w:rFonts w:ascii="Calibri" w:hAnsi="Calibri" w:cs="Calibri"/>
              </w:rPr>
              <w:t>El grupo</w:t>
            </w:r>
          </w:p>
        </w:tc>
        <w:tc>
          <w:tcPr>
            <w:tcW w:w="1680" w:type="dxa"/>
            <w:shd w:val="clear" w:color="F2F2F2" w:fill="F2F2F2"/>
          </w:tcPr>
          <w:p w14:paraId="48E34690" w14:textId="77777777" w:rsidR="00592F16" w:rsidRPr="007C733A" w:rsidRDefault="00B85A89">
            <w:pPr>
              <w:spacing w:before="60" w:after="60"/>
              <w:rPr>
                <w:rFonts w:ascii="Calibri" w:hAnsi="Calibri" w:cs="Calibri"/>
              </w:rPr>
            </w:pPr>
            <w:r w:rsidRPr="007C733A">
              <w:rPr>
                <w:rFonts w:ascii="Calibri" w:hAnsi="Calibri" w:cs="Calibri"/>
              </w:rPr>
              <w:t>Por definir</w:t>
            </w:r>
          </w:p>
        </w:tc>
      </w:tr>
      <w:tr w:rsidR="00592F16" w:rsidRPr="007C733A" w14:paraId="26150115" w14:textId="77777777">
        <w:tblPrEx>
          <w:tblCellMar>
            <w:top w:w="0" w:type="dxa"/>
            <w:bottom w:w="0" w:type="dxa"/>
          </w:tblCellMar>
        </w:tblPrEx>
        <w:tc>
          <w:tcPr>
            <w:tcW w:w="4800" w:type="dxa"/>
            <w:shd w:val="clear" w:color="FFFFFF" w:fill="FFFFFF"/>
          </w:tcPr>
          <w:p w14:paraId="535BC694" w14:textId="77777777" w:rsidR="00592F16" w:rsidRPr="007C733A" w:rsidRDefault="00B85A89">
            <w:pPr>
              <w:spacing w:before="60" w:after="60"/>
              <w:rPr>
                <w:rFonts w:ascii="Calibri" w:hAnsi="Calibri" w:cs="Calibri"/>
              </w:rPr>
            </w:pPr>
            <w:r w:rsidRPr="007C733A">
              <w:rPr>
                <w:rFonts w:ascii="Calibri" w:hAnsi="Calibri" w:cs="Calibri"/>
              </w:rPr>
              <w:t>Revisar viabilidad de incluir consulta de estados de cuenta dentro del alcance del IBR y coordinar evaluación técnica</w:t>
            </w:r>
          </w:p>
        </w:tc>
        <w:tc>
          <w:tcPr>
            <w:tcW w:w="2880" w:type="dxa"/>
            <w:shd w:val="clear" w:color="FFFFFF" w:fill="FFFFFF"/>
          </w:tcPr>
          <w:p w14:paraId="02DE0199" w14:textId="77777777" w:rsidR="00592F16" w:rsidRPr="007C733A" w:rsidRDefault="00B85A89">
            <w:pPr>
              <w:spacing w:before="60" w:after="60"/>
              <w:rPr>
                <w:rFonts w:ascii="Calibri" w:hAnsi="Calibri" w:cs="Calibri"/>
              </w:rPr>
            </w:pPr>
            <w:r w:rsidRPr="007C733A">
              <w:rPr>
                <w:rFonts w:ascii="Calibri" w:hAnsi="Calibri" w:cs="Calibri"/>
              </w:rPr>
              <w:t>Ramsés Abdiel Santos Beltrán</w:t>
            </w:r>
          </w:p>
        </w:tc>
        <w:tc>
          <w:tcPr>
            <w:tcW w:w="1680" w:type="dxa"/>
            <w:shd w:val="clear" w:color="FFFFFF" w:fill="FFFFFF"/>
          </w:tcPr>
          <w:p w14:paraId="19EFF84A" w14:textId="77777777" w:rsidR="00592F16" w:rsidRPr="007C733A" w:rsidRDefault="00B85A89">
            <w:pPr>
              <w:spacing w:before="60" w:after="60"/>
              <w:rPr>
                <w:rFonts w:ascii="Calibri" w:hAnsi="Calibri" w:cs="Calibri"/>
              </w:rPr>
            </w:pPr>
            <w:r w:rsidRPr="007C733A">
              <w:rPr>
                <w:rFonts w:ascii="Calibri" w:hAnsi="Calibri" w:cs="Calibri"/>
              </w:rPr>
              <w:t>Por definir</w:t>
            </w:r>
          </w:p>
        </w:tc>
      </w:tr>
      <w:tr w:rsidR="00592F16" w:rsidRPr="007C733A" w14:paraId="4A113B6B" w14:textId="77777777">
        <w:tblPrEx>
          <w:tblCellMar>
            <w:top w:w="0" w:type="dxa"/>
            <w:bottom w:w="0" w:type="dxa"/>
          </w:tblCellMar>
        </w:tblPrEx>
        <w:tc>
          <w:tcPr>
            <w:tcW w:w="4800" w:type="dxa"/>
            <w:shd w:val="clear" w:color="F2F2F2" w:fill="F2F2F2"/>
          </w:tcPr>
          <w:p w14:paraId="0ED75714" w14:textId="77777777" w:rsidR="00592F16" w:rsidRPr="007C733A" w:rsidRDefault="00B85A89">
            <w:pPr>
              <w:spacing w:before="60" w:after="60"/>
              <w:rPr>
                <w:rFonts w:ascii="Calibri" w:hAnsi="Calibri" w:cs="Calibri"/>
              </w:rPr>
            </w:pPr>
            <w:r w:rsidRPr="007C733A">
              <w:rPr>
                <w:rFonts w:ascii="Calibri" w:hAnsi="Calibri" w:cs="Calibri"/>
              </w:rPr>
              <w:t xml:space="preserve">Confirmar proceso actual de envío de estados de cuenta por correo: validación, descarga de archivo PDF desde </w:t>
            </w:r>
            <w:proofErr w:type="spellStart"/>
            <w:r w:rsidRPr="007C733A">
              <w:rPr>
                <w:rFonts w:ascii="Calibri" w:hAnsi="Calibri" w:cs="Calibri"/>
              </w:rPr>
              <w:t>Interfactura</w:t>
            </w:r>
            <w:proofErr w:type="spellEnd"/>
            <w:r w:rsidRPr="007C733A">
              <w:rPr>
                <w:rFonts w:ascii="Calibri" w:hAnsi="Calibri" w:cs="Calibri"/>
              </w:rPr>
              <w:t xml:space="preserve"> y cifrado</w:t>
            </w:r>
          </w:p>
        </w:tc>
        <w:tc>
          <w:tcPr>
            <w:tcW w:w="2880" w:type="dxa"/>
            <w:shd w:val="clear" w:color="F2F2F2" w:fill="F2F2F2"/>
          </w:tcPr>
          <w:p w14:paraId="76344293" w14:textId="77777777" w:rsidR="00592F16" w:rsidRPr="007C733A" w:rsidRDefault="00B85A89">
            <w:pPr>
              <w:spacing w:before="60" w:after="60"/>
              <w:rPr>
                <w:rFonts w:ascii="Calibri" w:hAnsi="Calibri" w:cs="Calibri"/>
              </w:rPr>
            </w:pPr>
            <w:r w:rsidRPr="007C733A">
              <w:rPr>
                <w:rFonts w:ascii="Calibri" w:hAnsi="Calibri" w:cs="Calibri"/>
              </w:rPr>
              <w:t>Ramsés Abdiel Santos Beltrán</w:t>
            </w:r>
          </w:p>
        </w:tc>
        <w:tc>
          <w:tcPr>
            <w:tcW w:w="1680" w:type="dxa"/>
            <w:shd w:val="clear" w:color="F2F2F2" w:fill="F2F2F2"/>
          </w:tcPr>
          <w:p w14:paraId="4DEAF6F7" w14:textId="77777777" w:rsidR="00592F16" w:rsidRPr="007C733A" w:rsidRDefault="00B85A89">
            <w:pPr>
              <w:spacing w:before="60" w:after="60"/>
              <w:rPr>
                <w:rFonts w:ascii="Calibri" w:hAnsi="Calibri" w:cs="Calibri"/>
              </w:rPr>
            </w:pPr>
            <w:r w:rsidRPr="007C733A">
              <w:rPr>
                <w:rFonts w:ascii="Calibri" w:hAnsi="Calibri" w:cs="Calibri"/>
              </w:rPr>
              <w:t>Por definir</w:t>
            </w:r>
          </w:p>
        </w:tc>
      </w:tr>
      <w:tr w:rsidR="00592F16" w:rsidRPr="007C733A" w14:paraId="655C0027" w14:textId="77777777">
        <w:tblPrEx>
          <w:tblCellMar>
            <w:top w:w="0" w:type="dxa"/>
            <w:bottom w:w="0" w:type="dxa"/>
          </w:tblCellMar>
        </w:tblPrEx>
        <w:tc>
          <w:tcPr>
            <w:tcW w:w="4800" w:type="dxa"/>
            <w:shd w:val="clear" w:color="FFFFFF" w:fill="FFFFFF"/>
          </w:tcPr>
          <w:p w14:paraId="122161F9" w14:textId="77777777" w:rsidR="00592F16" w:rsidRPr="007C733A" w:rsidRDefault="00B85A89">
            <w:pPr>
              <w:spacing w:before="60" w:after="60"/>
              <w:rPr>
                <w:rFonts w:ascii="Calibri" w:hAnsi="Calibri" w:cs="Calibri"/>
              </w:rPr>
            </w:pPr>
            <w:r w:rsidRPr="007C733A">
              <w:rPr>
                <w:rFonts w:ascii="Calibri" w:hAnsi="Calibri" w:cs="Calibri"/>
              </w:rPr>
              <w:t xml:space="preserve">Revisar lógica de la API </w:t>
            </w:r>
            <w:proofErr w:type="spellStart"/>
            <w:r w:rsidRPr="007C733A">
              <w:rPr>
                <w:rFonts w:ascii="Calibri" w:hAnsi="Calibri" w:cs="Calibri"/>
              </w:rPr>
              <w:t>Retrieve</w:t>
            </w:r>
            <w:proofErr w:type="spellEnd"/>
            <w:r w:rsidRPr="007C733A">
              <w:rPr>
                <w:rFonts w:ascii="Calibri" w:hAnsi="Calibri" w:cs="Calibri"/>
              </w:rPr>
              <w:t xml:space="preserve"> </w:t>
            </w:r>
            <w:proofErr w:type="spellStart"/>
            <w:r w:rsidRPr="007C733A">
              <w:rPr>
                <w:rFonts w:ascii="Calibri" w:hAnsi="Calibri" w:cs="Calibri"/>
              </w:rPr>
              <w:t>Account</w:t>
            </w:r>
            <w:proofErr w:type="spellEnd"/>
            <w:r w:rsidRPr="007C733A">
              <w:rPr>
                <w:rFonts w:ascii="Calibri" w:hAnsi="Calibri" w:cs="Calibri"/>
              </w:rPr>
              <w:t xml:space="preserve"> </w:t>
            </w:r>
            <w:proofErr w:type="spellStart"/>
            <w:r w:rsidRPr="007C733A">
              <w:rPr>
                <w:rFonts w:ascii="Calibri" w:hAnsi="Calibri" w:cs="Calibri"/>
              </w:rPr>
              <w:t>Transaction</w:t>
            </w:r>
            <w:proofErr w:type="spellEnd"/>
            <w:r w:rsidRPr="007C733A">
              <w:rPr>
                <w:rFonts w:ascii="Calibri" w:hAnsi="Calibri" w:cs="Calibri"/>
              </w:rPr>
              <w:t xml:space="preserve"> para asegurar compatibilidad con consulta de movimientos del IBR</w:t>
            </w:r>
          </w:p>
        </w:tc>
        <w:tc>
          <w:tcPr>
            <w:tcW w:w="2880" w:type="dxa"/>
            <w:shd w:val="clear" w:color="FFFFFF" w:fill="FFFFFF"/>
          </w:tcPr>
          <w:p w14:paraId="25B848BA" w14:textId="77777777" w:rsidR="00592F16" w:rsidRPr="007C733A" w:rsidRDefault="00B85A89">
            <w:pPr>
              <w:spacing w:before="60" w:after="60"/>
              <w:rPr>
                <w:rFonts w:ascii="Calibri" w:hAnsi="Calibri" w:cs="Calibri"/>
              </w:rPr>
            </w:pPr>
            <w:r w:rsidRPr="007C733A">
              <w:rPr>
                <w:rFonts w:ascii="Calibri" w:hAnsi="Calibri" w:cs="Calibri"/>
              </w:rPr>
              <w:t>Ramsés Abdiel Santos Beltrán</w:t>
            </w:r>
          </w:p>
        </w:tc>
        <w:tc>
          <w:tcPr>
            <w:tcW w:w="1680" w:type="dxa"/>
            <w:shd w:val="clear" w:color="FFFFFF" w:fill="FFFFFF"/>
          </w:tcPr>
          <w:p w14:paraId="29CAD50C" w14:textId="77777777" w:rsidR="00592F16" w:rsidRPr="007C733A" w:rsidRDefault="00B85A89">
            <w:pPr>
              <w:spacing w:before="60" w:after="60"/>
              <w:rPr>
                <w:rFonts w:ascii="Calibri" w:hAnsi="Calibri" w:cs="Calibri"/>
              </w:rPr>
            </w:pPr>
            <w:r w:rsidRPr="007C733A">
              <w:rPr>
                <w:rFonts w:ascii="Calibri" w:hAnsi="Calibri" w:cs="Calibri"/>
              </w:rPr>
              <w:t>Por definir</w:t>
            </w:r>
          </w:p>
        </w:tc>
      </w:tr>
      <w:tr w:rsidR="00592F16" w:rsidRPr="007C733A" w14:paraId="402C9FA6" w14:textId="77777777">
        <w:tblPrEx>
          <w:tblCellMar>
            <w:top w:w="0" w:type="dxa"/>
            <w:bottom w:w="0" w:type="dxa"/>
          </w:tblCellMar>
        </w:tblPrEx>
        <w:tc>
          <w:tcPr>
            <w:tcW w:w="4800" w:type="dxa"/>
            <w:shd w:val="clear" w:color="F2F2F2" w:fill="F2F2F2"/>
          </w:tcPr>
          <w:p w14:paraId="157ECD5C" w14:textId="77777777" w:rsidR="00592F16" w:rsidRPr="007C733A" w:rsidRDefault="00B85A89">
            <w:pPr>
              <w:spacing w:before="60" w:after="60"/>
              <w:rPr>
                <w:rFonts w:ascii="Calibri" w:hAnsi="Calibri" w:cs="Calibri"/>
              </w:rPr>
            </w:pPr>
            <w:r w:rsidRPr="007C733A">
              <w:rPr>
                <w:rFonts w:ascii="Calibri" w:hAnsi="Calibri" w:cs="Calibri"/>
              </w:rPr>
              <w:t xml:space="preserve">Coordinar conexión técnica entre el IBR y el sistema </w:t>
            </w:r>
            <w:proofErr w:type="spellStart"/>
            <w:r w:rsidRPr="007C733A">
              <w:rPr>
                <w:rFonts w:ascii="Calibri" w:hAnsi="Calibri" w:cs="Calibri"/>
              </w:rPr>
              <w:t>Interfactura</w:t>
            </w:r>
            <w:proofErr w:type="spellEnd"/>
            <w:r w:rsidRPr="007C733A">
              <w:rPr>
                <w:rFonts w:ascii="Calibri" w:hAnsi="Calibri" w:cs="Calibri"/>
              </w:rPr>
              <w:t xml:space="preserve"> para la consulta y envío de estados de cuenta</w:t>
            </w:r>
          </w:p>
        </w:tc>
        <w:tc>
          <w:tcPr>
            <w:tcW w:w="2880" w:type="dxa"/>
            <w:shd w:val="clear" w:color="F2F2F2" w:fill="F2F2F2"/>
          </w:tcPr>
          <w:p w14:paraId="3C98F932" w14:textId="77777777" w:rsidR="00592F16" w:rsidRPr="007C733A" w:rsidRDefault="00B85A89">
            <w:pPr>
              <w:spacing w:before="60" w:after="60"/>
              <w:rPr>
                <w:rFonts w:ascii="Calibri" w:hAnsi="Calibri" w:cs="Calibri"/>
              </w:rPr>
            </w:pPr>
            <w:r w:rsidRPr="007C733A">
              <w:rPr>
                <w:rFonts w:ascii="Calibri" w:hAnsi="Calibri" w:cs="Calibri"/>
              </w:rPr>
              <w:t>Armando Riveros Hernández</w:t>
            </w:r>
          </w:p>
        </w:tc>
        <w:tc>
          <w:tcPr>
            <w:tcW w:w="1680" w:type="dxa"/>
            <w:shd w:val="clear" w:color="F2F2F2" w:fill="F2F2F2"/>
          </w:tcPr>
          <w:p w14:paraId="539CC489" w14:textId="77777777" w:rsidR="00592F16" w:rsidRPr="007C733A" w:rsidRDefault="00B85A89">
            <w:pPr>
              <w:spacing w:before="60" w:after="60"/>
              <w:rPr>
                <w:rFonts w:ascii="Calibri" w:hAnsi="Calibri" w:cs="Calibri"/>
              </w:rPr>
            </w:pPr>
            <w:r w:rsidRPr="007C733A">
              <w:rPr>
                <w:rFonts w:ascii="Calibri" w:hAnsi="Calibri" w:cs="Calibri"/>
              </w:rPr>
              <w:t>Por definir</w:t>
            </w:r>
          </w:p>
        </w:tc>
      </w:tr>
      <w:tr w:rsidR="00592F16" w:rsidRPr="007C733A" w14:paraId="0E9CF282" w14:textId="77777777">
        <w:tblPrEx>
          <w:tblCellMar>
            <w:top w:w="0" w:type="dxa"/>
            <w:bottom w:w="0" w:type="dxa"/>
          </w:tblCellMar>
        </w:tblPrEx>
        <w:tc>
          <w:tcPr>
            <w:tcW w:w="4800" w:type="dxa"/>
            <w:shd w:val="clear" w:color="FFFFFF" w:fill="FFFFFF"/>
          </w:tcPr>
          <w:p w14:paraId="0AF58205" w14:textId="77777777" w:rsidR="00592F16" w:rsidRPr="007C733A" w:rsidRDefault="00B85A89">
            <w:pPr>
              <w:spacing w:before="60" w:after="60"/>
              <w:rPr>
                <w:rFonts w:ascii="Calibri" w:hAnsi="Calibri" w:cs="Calibri"/>
              </w:rPr>
            </w:pPr>
            <w:r w:rsidRPr="007C733A">
              <w:rPr>
                <w:rFonts w:ascii="Calibri" w:hAnsi="Calibri" w:cs="Calibri"/>
              </w:rPr>
              <w:t>Verificar con el equipo de promotoría cómo funciona actualmente la consulta de movimientos y pantalla de detalles de sucursal en el IBR para asegurar integridad de datos</w:t>
            </w:r>
          </w:p>
        </w:tc>
        <w:tc>
          <w:tcPr>
            <w:tcW w:w="2880" w:type="dxa"/>
            <w:shd w:val="clear" w:color="FFFFFF" w:fill="FFFFFF"/>
          </w:tcPr>
          <w:p w14:paraId="07899DB6" w14:textId="77777777" w:rsidR="00592F16" w:rsidRPr="007C733A" w:rsidRDefault="00B85A89">
            <w:pPr>
              <w:spacing w:before="60" w:after="60"/>
              <w:rPr>
                <w:rFonts w:ascii="Calibri" w:hAnsi="Calibri" w:cs="Calibri"/>
              </w:rPr>
            </w:pPr>
            <w:r w:rsidRPr="007C733A">
              <w:rPr>
                <w:rFonts w:ascii="Calibri" w:hAnsi="Calibri" w:cs="Calibri"/>
              </w:rPr>
              <w:t>El grupo</w:t>
            </w:r>
          </w:p>
        </w:tc>
        <w:tc>
          <w:tcPr>
            <w:tcW w:w="1680" w:type="dxa"/>
            <w:shd w:val="clear" w:color="FFFFFF" w:fill="FFFFFF"/>
          </w:tcPr>
          <w:p w14:paraId="457402D1" w14:textId="77777777" w:rsidR="00592F16" w:rsidRPr="007C733A" w:rsidRDefault="00B85A89">
            <w:pPr>
              <w:spacing w:before="60" w:after="60"/>
              <w:rPr>
                <w:rFonts w:ascii="Calibri" w:hAnsi="Calibri" w:cs="Calibri"/>
              </w:rPr>
            </w:pPr>
            <w:r w:rsidRPr="007C733A">
              <w:rPr>
                <w:rFonts w:ascii="Calibri" w:hAnsi="Calibri" w:cs="Calibri"/>
              </w:rPr>
              <w:t>Por definir</w:t>
            </w:r>
          </w:p>
        </w:tc>
      </w:tr>
      <w:tr w:rsidR="00592F16" w:rsidRPr="007C733A" w14:paraId="102CC472" w14:textId="77777777">
        <w:tblPrEx>
          <w:tblCellMar>
            <w:top w:w="0" w:type="dxa"/>
            <w:bottom w:w="0" w:type="dxa"/>
          </w:tblCellMar>
        </w:tblPrEx>
        <w:tc>
          <w:tcPr>
            <w:tcW w:w="4800" w:type="dxa"/>
            <w:shd w:val="clear" w:color="F2F2F2" w:fill="F2F2F2"/>
          </w:tcPr>
          <w:p w14:paraId="36100BE4" w14:textId="77777777" w:rsidR="00592F16" w:rsidRPr="007C733A" w:rsidRDefault="00B85A89">
            <w:pPr>
              <w:spacing w:before="60" w:after="60"/>
              <w:rPr>
                <w:rFonts w:ascii="Calibri" w:hAnsi="Calibri" w:cs="Calibri"/>
              </w:rPr>
            </w:pPr>
            <w:r w:rsidRPr="007C733A">
              <w:rPr>
                <w:rFonts w:ascii="Calibri" w:hAnsi="Calibri" w:cs="Calibri"/>
              </w:rPr>
              <w:t>Investigar la fuente de datos original en el sistema legado para recuperar nombre de sucursal y nombre de gerente (actualmente aparecen en blanco en las vistas de cuenta)</w:t>
            </w:r>
          </w:p>
        </w:tc>
        <w:tc>
          <w:tcPr>
            <w:tcW w:w="2880" w:type="dxa"/>
            <w:shd w:val="clear" w:color="F2F2F2" w:fill="F2F2F2"/>
          </w:tcPr>
          <w:p w14:paraId="20A4F92E" w14:textId="77777777" w:rsidR="00592F16" w:rsidRPr="007C733A" w:rsidRDefault="00B85A89">
            <w:pPr>
              <w:spacing w:before="60" w:after="60"/>
              <w:rPr>
                <w:rFonts w:ascii="Calibri" w:hAnsi="Calibri" w:cs="Calibri"/>
              </w:rPr>
            </w:pPr>
            <w:r w:rsidRPr="007C733A">
              <w:rPr>
                <w:rFonts w:ascii="Calibri" w:hAnsi="Calibri" w:cs="Calibri"/>
              </w:rPr>
              <w:t>El grupo</w:t>
            </w:r>
          </w:p>
        </w:tc>
        <w:tc>
          <w:tcPr>
            <w:tcW w:w="1680" w:type="dxa"/>
            <w:shd w:val="clear" w:color="F2F2F2" w:fill="F2F2F2"/>
          </w:tcPr>
          <w:p w14:paraId="73F81AE5" w14:textId="77777777" w:rsidR="00592F16" w:rsidRPr="007C733A" w:rsidRDefault="00B85A89">
            <w:pPr>
              <w:spacing w:before="60" w:after="60"/>
              <w:rPr>
                <w:rFonts w:ascii="Calibri" w:hAnsi="Calibri" w:cs="Calibri"/>
              </w:rPr>
            </w:pPr>
            <w:r w:rsidRPr="007C733A">
              <w:rPr>
                <w:rFonts w:ascii="Calibri" w:hAnsi="Calibri" w:cs="Calibri"/>
              </w:rPr>
              <w:t>Por definir</w:t>
            </w:r>
          </w:p>
        </w:tc>
      </w:tr>
      <w:tr w:rsidR="00592F16" w:rsidRPr="007C733A" w14:paraId="4EB58E86" w14:textId="77777777">
        <w:tblPrEx>
          <w:tblCellMar>
            <w:top w:w="0" w:type="dxa"/>
            <w:bottom w:w="0" w:type="dxa"/>
          </w:tblCellMar>
        </w:tblPrEx>
        <w:tc>
          <w:tcPr>
            <w:tcW w:w="4800" w:type="dxa"/>
            <w:shd w:val="clear" w:color="FFFFFF" w:fill="FFFFFF"/>
          </w:tcPr>
          <w:p w14:paraId="207909A1" w14:textId="77777777" w:rsidR="00592F16" w:rsidRPr="007C733A" w:rsidRDefault="00B85A89">
            <w:pPr>
              <w:spacing w:before="60" w:after="60"/>
              <w:rPr>
                <w:rFonts w:ascii="Calibri" w:hAnsi="Calibri" w:cs="Calibri"/>
              </w:rPr>
            </w:pPr>
            <w:r w:rsidRPr="007C733A">
              <w:rPr>
                <w:rFonts w:ascii="Calibri" w:hAnsi="Calibri" w:cs="Calibri"/>
              </w:rPr>
              <w:t xml:space="preserve">Definir campos exactos que se propagarán desde las </w:t>
            </w:r>
            <w:proofErr w:type="spellStart"/>
            <w:r w:rsidRPr="007C733A">
              <w:rPr>
                <w:rFonts w:ascii="Calibri" w:hAnsi="Calibri" w:cs="Calibri"/>
              </w:rPr>
              <w:t>APIs</w:t>
            </w:r>
            <w:proofErr w:type="spellEnd"/>
            <w:r w:rsidRPr="007C733A">
              <w:rPr>
                <w:rFonts w:ascii="Calibri" w:hAnsi="Calibri" w:cs="Calibri"/>
              </w:rPr>
              <w:t xml:space="preserve"> para saldo actual y saldo al corte en el IBR</w:t>
            </w:r>
          </w:p>
        </w:tc>
        <w:tc>
          <w:tcPr>
            <w:tcW w:w="2880" w:type="dxa"/>
            <w:shd w:val="clear" w:color="FFFFFF" w:fill="FFFFFF"/>
          </w:tcPr>
          <w:p w14:paraId="5E733283" w14:textId="77777777" w:rsidR="00592F16" w:rsidRPr="007C733A" w:rsidRDefault="00B85A89">
            <w:pPr>
              <w:spacing w:before="60" w:after="60"/>
              <w:rPr>
                <w:rFonts w:ascii="Calibri" w:hAnsi="Calibri" w:cs="Calibri"/>
              </w:rPr>
            </w:pPr>
            <w:r w:rsidRPr="007C733A">
              <w:rPr>
                <w:rFonts w:ascii="Calibri" w:hAnsi="Calibri" w:cs="Calibri"/>
              </w:rPr>
              <w:t>El grupo</w:t>
            </w:r>
          </w:p>
        </w:tc>
        <w:tc>
          <w:tcPr>
            <w:tcW w:w="1680" w:type="dxa"/>
            <w:shd w:val="clear" w:color="FFFFFF" w:fill="FFFFFF"/>
          </w:tcPr>
          <w:p w14:paraId="0465C14E" w14:textId="77777777" w:rsidR="00592F16" w:rsidRPr="007C733A" w:rsidRDefault="00B85A89">
            <w:pPr>
              <w:spacing w:before="60" w:after="60"/>
              <w:rPr>
                <w:rFonts w:ascii="Calibri" w:hAnsi="Calibri" w:cs="Calibri"/>
              </w:rPr>
            </w:pPr>
            <w:r w:rsidRPr="007C733A">
              <w:rPr>
                <w:rFonts w:ascii="Calibri" w:hAnsi="Calibri" w:cs="Calibri"/>
              </w:rPr>
              <w:t>Por definir</w:t>
            </w:r>
          </w:p>
        </w:tc>
      </w:tr>
      <w:tr w:rsidR="00592F16" w:rsidRPr="007C733A" w14:paraId="28501D0A" w14:textId="77777777">
        <w:tblPrEx>
          <w:tblCellMar>
            <w:top w:w="0" w:type="dxa"/>
            <w:bottom w:w="0" w:type="dxa"/>
          </w:tblCellMar>
        </w:tblPrEx>
        <w:tc>
          <w:tcPr>
            <w:tcW w:w="4800" w:type="dxa"/>
            <w:shd w:val="clear" w:color="F2F2F2" w:fill="F2F2F2"/>
          </w:tcPr>
          <w:p w14:paraId="26298592" w14:textId="77777777" w:rsidR="00592F16" w:rsidRPr="007C733A" w:rsidRDefault="00B85A89">
            <w:pPr>
              <w:spacing w:before="60" w:after="60"/>
              <w:rPr>
                <w:rFonts w:ascii="Calibri" w:hAnsi="Calibri" w:cs="Calibri"/>
              </w:rPr>
            </w:pPr>
            <w:r w:rsidRPr="007C733A">
              <w:rPr>
                <w:rFonts w:ascii="Calibri" w:hAnsi="Calibri" w:cs="Calibri"/>
              </w:rPr>
              <w:t>Estandarizar catálogos de estatus de bloqueo y cancelación (estatus 20, 21, 43, 12) para consistencia en todos los canales</w:t>
            </w:r>
          </w:p>
        </w:tc>
        <w:tc>
          <w:tcPr>
            <w:tcW w:w="2880" w:type="dxa"/>
            <w:shd w:val="clear" w:color="F2F2F2" w:fill="F2F2F2"/>
          </w:tcPr>
          <w:p w14:paraId="21F5F22E" w14:textId="77777777" w:rsidR="00592F16" w:rsidRPr="007C733A" w:rsidRDefault="00B85A89">
            <w:pPr>
              <w:spacing w:before="60" w:after="60"/>
              <w:rPr>
                <w:rFonts w:ascii="Calibri" w:hAnsi="Calibri" w:cs="Calibri"/>
              </w:rPr>
            </w:pPr>
            <w:r w:rsidRPr="007C733A">
              <w:rPr>
                <w:rFonts w:ascii="Calibri" w:hAnsi="Calibri" w:cs="Calibri"/>
              </w:rPr>
              <w:t>El grupo</w:t>
            </w:r>
          </w:p>
        </w:tc>
        <w:tc>
          <w:tcPr>
            <w:tcW w:w="1680" w:type="dxa"/>
            <w:shd w:val="clear" w:color="F2F2F2" w:fill="F2F2F2"/>
          </w:tcPr>
          <w:p w14:paraId="735894C4" w14:textId="77777777" w:rsidR="00592F16" w:rsidRPr="007C733A" w:rsidRDefault="00B85A89">
            <w:pPr>
              <w:spacing w:before="60" w:after="60"/>
              <w:rPr>
                <w:rFonts w:ascii="Calibri" w:hAnsi="Calibri" w:cs="Calibri"/>
              </w:rPr>
            </w:pPr>
            <w:r w:rsidRPr="007C733A">
              <w:rPr>
                <w:rFonts w:ascii="Calibri" w:hAnsi="Calibri" w:cs="Calibri"/>
              </w:rPr>
              <w:t>Por definir</w:t>
            </w:r>
          </w:p>
        </w:tc>
      </w:tr>
    </w:tbl>
    <w:p w14:paraId="2476C999" w14:textId="77777777" w:rsidR="00592F16" w:rsidRPr="007C733A" w:rsidRDefault="00592F16">
      <w:pPr>
        <w:spacing w:before="200"/>
        <w:rPr>
          <w:rFonts w:ascii="Calibri" w:hAnsi="Calibri" w:cs="Calibri"/>
        </w:rPr>
      </w:pPr>
    </w:p>
    <w:p w14:paraId="7C20B890" w14:textId="77777777" w:rsidR="00592F16" w:rsidRPr="007C733A" w:rsidRDefault="00B85A89">
      <w:pPr>
        <w:shd w:val="clear" w:color="1F3864" w:fill="1F3864"/>
        <w:spacing w:before="200" w:after="100"/>
        <w:ind w:left="100"/>
        <w:rPr>
          <w:rFonts w:ascii="Calibri" w:hAnsi="Calibri" w:cs="Calibri"/>
        </w:rPr>
      </w:pPr>
      <w:r w:rsidRPr="007C733A">
        <w:rPr>
          <w:rFonts w:ascii="Calibri" w:hAnsi="Calibri" w:cs="Calibri"/>
          <w:b/>
          <w:bCs/>
          <w:color w:val="FFFFFF"/>
          <w:sz w:val="22"/>
          <w:szCs w:val="22"/>
        </w:rPr>
        <w:t>6. Riesgos y bloqueos identificados</w:t>
      </w:r>
    </w:p>
    <w:p w14:paraId="752D8FDA" w14:textId="77777777" w:rsidR="007C733A" w:rsidRDefault="007C733A" w:rsidP="007C733A">
      <w:pPr>
        <w:pStyle w:val="ListParagraph"/>
        <w:numPr>
          <w:ilvl w:val="0"/>
          <w:numId w:val="2"/>
        </w:numPr>
        <w:spacing w:before="60" w:after="60"/>
        <w:ind w:left="709" w:hanging="283"/>
        <w:rPr>
          <w:rFonts w:ascii="Calibri" w:hAnsi="Calibri" w:cs="Calibri"/>
          <w:color w:val="000000" w:themeColor="text1"/>
        </w:rPr>
      </w:pPr>
      <w:r w:rsidRPr="007C733A">
        <w:rPr>
          <w:rFonts w:ascii="Calibri" w:hAnsi="Calibri" w:cs="Calibri"/>
          <w:color w:val="000000" w:themeColor="text1"/>
        </w:rPr>
        <w:t xml:space="preserve">Riesgo Operativo por Ausencia de Flujo de Aclaraciones: La falta de una orquestación automática y un flujo definido con el área operativa para la atención de cargos no reconocidos (físicos y digitales) pone en riesgo los tiempos de respuesta y la experiencia del cliente en canales de atención.  </w:t>
      </w:r>
    </w:p>
    <w:p w14:paraId="15708C2F" w14:textId="77777777" w:rsidR="007C733A" w:rsidRDefault="007C733A" w:rsidP="007C733A">
      <w:pPr>
        <w:pStyle w:val="ListParagraph"/>
        <w:numPr>
          <w:ilvl w:val="0"/>
          <w:numId w:val="2"/>
        </w:numPr>
        <w:spacing w:before="60" w:after="60"/>
        <w:ind w:left="709" w:hanging="283"/>
        <w:rPr>
          <w:rFonts w:ascii="Calibri" w:hAnsi="Calibri" w:cs="Calibri"/>
          <w:color w:val="000000" w:themeColor="text1"/>
        </w:rPr>
      </w:pPr>
      <w:r w:rsidRPr="007C733A">
        <w:rPr>
          <w:rFonts w:ascii="Calibri" w:hAnsi="Calibri" w:cs="Calibri"/>
          <w:color w:val="000000" w:themeColor="text1"/>
        </w:rPr>
        <w:t xml:space="preserve">Bloqueo de Pruebas en Canales por Fechas Futuras: La presencia de desajustes e inconsistencias de fechas futuras detectadas en Smart Vista representa un bloqueo crítico para la orquestación de las </w:t>
      </w:r>
      <w:proofErr w:type="spellStart"/>
      <w:r w:rsidRPr="007C733A">
        <w:rPr>
          <w:rFonts w:ascii="Calibri" w:hAnsi="Calibri" w:cs="Calibri"/>
          <w:color w:val="000000" w:themeColor="text1"/>
        </w:rPr>
        <w:t>APIs</w:t>
      </w:r>
      <w:proofErr w:type="spellEnd"/>
      <w:r w:rsidRPr="007C733A">
        <w:rPr>
          <w:rFonts w:ascii="Calibri" w:hAnsi="Calibri" w:cs="Calibri"/>
          <w:color w:val="000000" w:themeColor="text1"/>
        </w:rPr>
        <w:t xml:space="preserve"> de movimientos, deteniendo los ciclos de pruebas unitarias en las interfaces </w:t>
      </w:r>
      <w:proofErr w:type="spellStart"/>
      <w:r w:rsidRPr="007C733A">
        <w:rPr>
          <w:rFonts w:ascii="Calibri" w:hAnsi="Calibri" w:cs="Calibri"/>
          <w:color w:val="000000" w:themeColor="text1"/>
        </w:rPr>
        <w:t>front-end</w:t>
      </w:r>
      <w:proofErr w:type="spellEnd"/>
      <w:r w:rsidRPr="007C733A">
        <w:rPr>
          <w:rFonts w:ascii="Calibri" w:hAnsi="Calibri" w:cs="Calibri"/>
          <w:color w:val="000000" w:themeColor="text1"/>
        </w:rPr>
        <w:t xml:space="preserve">.  </w:t>
      </w:r>
    </w:p>
    <w:p w14:paraId="55A0FD26" w14:textId="19BEB288" w:rsidR="007C733A" w:rsidRPr="007C733A" w:rsidRDefault="007C733A" w:rsidP="007C733A">
      <w:pPr>
        <w:pStyle w:val="ListParagraph"/>
        <w:numPr>
          <w:ilvl w:val="0"/>
          <w:numId w:val="2"/>
        </w:numPr>
        <w:spacing w:before="60" w:after="60"/>
        <w:ind w:left="709" w:hanging="283"/>
        <w:rPr>
          <w:rFonts w:ascii="Calibri" w:hAnsi="Calibri" w:cs="Calibri"/>
          <w:color w:val="000000" w:themeColor="text1"/>
        </w:rPr>
      </w:pPr>
      <w:r w:rsidRPr="007C733A">
        <w:rPr>
          <w:rFonts w:ascii="Calibri" w:hAnsi="Calibri" w:cs="Calibri"/>
          <w:color w:val="000000" w:themeColor="text1"/>
        </w:rPr>
        <w:t xml:space="preserve">Complejidad y Duplicidad por Desalineación de Criterios: El riesgo de incrementar los costos de mantenimiento y generar fallas de integridad en la información si los distintos canales técnicos no se alinean rígidamente bajo el modelo estandarizado de </w:t>
      </w:r>
      <w:proofErr w:type="spellStart"/>
      <w:r w:rsidRPr="007C733A">
        <w:rPr>
          <w:rFonts w:ascii="Calibri" w:hAnsi="Calibri" w:cs="Calibri"/>
          <w:color w:val="000000" w:themeColor="text1"/>
        </w:rPr>
        <w:t>APIs</w:t>
      </w:r>
      <w:proofErr w:type="spellEnd"/>
      <w:r w:rsidRPr="007C733A">
        <w:rPr>
          <w:rFonts w:ascii="Calibri" w:hAnsi="Calibri" w:cs="Calibri"/>
          <w:color w:val="000000" w:themeColor="text1"/>
        </w:rPr>
        <w:t xml:space="preserve"> compartidas.</w:t>
      </w:r>
    </w:p>
    <w:sectPr w:rsidR="007C733A" w:rsidRPr="007C73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72B06"/>
    <w:multiLevelType w:val="hybridMultilevel"/>
    <w:tmpl w:val="85C078D8"/>
    <w:lvl w:ilvl="0" w:tplc="5E1CAE66">
      <w:start w:val="1"/>
      <w:numFmt w:val="bullet"/>
      <w:lvlText w:val="●"/>
      <w:lvlJc w:val="left"/>
      <w:pPr>
        <w:ind w:left="720" w:hanging="360"/>
      </w:pPr>
    </w:lvl>
    <w:lvl w:ilvl="1" w:tplc="0040EA90">
      <w:start w:val="1"/>
      <w:numFmt w:val="bullet"/>
      <w:lvlText w:val="○"/>
      <w:lvlJc w:val="left"/>
      <w:pPr>
        <w:ind w:left="1440" w:hanging="360"/>
      </w:pPr>
    </w:lvl>
    <w:lvl w:ilvl="2" w:tplc="1E04F170">
      <w:start w:val="1"/>
      <w:numFmt w:val="bullet"/>
      <w:lvlText w:val="■"/>
      <w:lvlJc w:val="left"/>
      <w:pPr>
        <w:ind w:left="2160" w:hanging="360"/>
      </w:pPr>
    </w:lvl>
    <w:lvl w:ilvl="3" w:tplc="F92A74CE">
      <w:start w:val="1"/>
      <w:numFmt w:val="bullet"/>
      <w:lvlText w:val="●"/>
      <w:lvlJc w:val="left"/>
      <w:pPr>
        <w:ind w:left="2880" w:hanging="360"/>
      </w:pPr>
    </w:lvl>
    <w:lvl w:ilvl="4" w:tplc="6F522B8A">
      <w:start w:val="1"/>
      <w:numFmt w:val="bullet"/>
      <w:lvlText w:val="○"/>
      <w:lvlJc w:val="left"/>
      <w:pPr>
        <w:ind w:left="3600" w:hanging="360"/>
      </w:pPr>
    </w:lvl>
    <w:lvl w:ilvl="5" w:tplc="A6EC33A0">
      <w:start w:val="1"/>
      <w:numFmt w:val="bullet"/>
      <w:lvlText w:val="■"/>
      <w:lvlJc w:val="left"/>
      <w:pPr>
        <w:ind w:left="4320" w:hanging="360"/>
      </w:pPr>
    </w:lvl>
    <w:lvl w:ilvl="6" w:tplc="EB1A0A74">
      <w:start w:val="1"/>
      <w:numFmt w:val="bullet"/>
      <w:lvlText w:val="●"/>
      <w:lvlJc w:val="left"/>
      <w:pPr>
        <w:ind w:left="5040" w:hanging="360"/>
      </w:pPr>
    </w:lvl>
    <w:lvl w:ilvl="7" w:tplc="750E232A">
      <w:start w:val="1"/>
      <w:numFmt w:val="bullet"/>
      <w:lvlText w:val="●"/>
      <w:lvlJc w:val="left"/>
      <w:pPr>
        <w:ind w:left="5760" w:hanging="360"/>
      </w:pPr>
    </w:lvl>
    <w:lvl w:ilvl="8" w:tplc="8180A50A">
      <w:start w:val="1"/>
      <w:numFmt w:val="bullet"/>
      <w:lvlText w:val="●"/>
      <w:lvlJc w:val="left"/>
      <w:pPr>
        <w:ind w:left="6480" w:hanging="360"/>
      </w:pPr>
    </w:lvl>
  </w:abstractNum>
  <w:abstractNum w:abstractNumId="1" w15:restartNumberingAfterBreak="0">
    <w:nsid w:val="59D92DC7"/>
    <w:multiLevelType w:val="hybridMultilevel"/>
    <w:tmpl w:val="B55076B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18961379">
    <w:abstractNumId w:val="0"/>
    <w:lvlOverride w:ilvl="0">
      <w:startOverride w:val="1"/>
    </w:lvlOverride>
  </w:num>
  <w:num w:numId="2" w16cid:durableId="66849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F16"/>
    <w:rsid w:val="00592F16"/>
    <w:rsid w:val="007C733A"/>
    <w:rsid w:val="009331DA"/>
    <w:rsid w:val="00B85A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76A4F"/>
  <w15:docId w15:val="{CCF1624F-3C56-4311-82F3-0332FD77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19C14E6CE42D4B977263D409F6C8DA" ma:contentTypeVersion="3" ma:contentTypeDescription="Crear nuevo documento." ma:contentTypeScope="" ma:versionID="2f4c844843fc0eaeefe441df60b3155f">
  <xsd:schema xmlns:xsd="http://www.w3.org/2001/XMLSchema" xmlns:xs="http://www.w3.org/2001/XMLSchema" xmlns:p="http://schemas.microsoft.com/office/2006/metadata/properties" xmlns:ns2="2e63f7ca-11da-434c-beda-f4aca14d09b4" targetNamespace="http://schemas.microsoft.com/office/2006/metadata/properties" ma:root="true" ma:fieldsID="060792bb7d35dfa6360dd3fbf1c23d8f"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351AF6-7071-4BA1-B58F-BCB492774C87}"/>
</file>

<file path=customXml/itemProps2.xml><?xml version="1.0" encoding="utf-8"?>
<ds:datastoreItem xmlns:ds="http://schemas.openxmlformats.org/officeDocument/2006/customXml" ds:itemID="{120E9FC7-D92B-422A-AD62-399F410AA2E4}"/>
</file>

<file path=customXml/itemProps3.xml><?xml version="1.0" encoding="utf-8"?>
<ds:datastoreItem xmlns:ds="http://schemas.openxmlformats.org/officeDocument/2006/customXml" ds:itemID="{C252F0F7-EECE-4639-8056-8F4CD587BB9F}"/>
</file>

<file path=docProps/app.xml><?xml version="1.0" encoding="utf-8"?>
<Properties xmlns="http://schemas.openxmlformats.org/officeDocument/2006/extended-properties" xmlns:vt="http://schemas.openxmlformats.org/officeDocument/2006/docPropsVTypes">
  <Template>Normal</Template>
  <TotalTime>9</TotalTime>
  <Pages>3</Pages>
  <Words>1461</Words>
  <Characters>7837</Characters>
  <Application>Microsoft Office Word</Application>
  <DocSecurity>0</DocSecurity>
  <Lines>156</Lines>
  <Paragraphs>90</Paragraphs>
  <ScaleCrop>false</ScaleCrop>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Cervantes, Ana</cp:lastModifiedBy>
  <cp:revision>2</cp:revision>
  <dcterms:created xsi:type="dcterms:W3CDTF">2026-07-14T00:10:00Z</dcterms:created>
  <dcterms:modified xsi:type="dcterms:W3CDTF">2026-07-14T00:10:00Z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ies>
</file>