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ttf" ContentType="application/x-font-ttf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480" w:lineRule="auto"/>
        <w:rPr/>
      </w:pPr>
      <w:r w:rsidDel="00000000" w:rsidR="00000000" w:rsidRPr="00000000">
        <w:rPr>
          <w:b w:val="1"/>
          <w:bCs w:val="1"/>
          <w:color w:val="003366"/>
          <w:sz w:val="44"/>
          <w:szCs w:val="44"/>
          <w:rtl w:val="0"/>
        </w:rPr>
        <w:t xml:space="preserve">Marco de Referencia de Arquitectura Empresarial, Lineamientos de Desarrollo y Patrones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60" w:lineRule="auto"/>
        <w:rPr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Estándares de Tecnología, Operación, Patrones de Arquitectura y Seguridad para Soluciones Bancarias | BanCoppel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cbd5e1" w:space="0" w:sz="4" w:val="single"/>
          <w:left w:color="000000" w:space="0" w:sz="0" w:val="nil"/>
          <w:bottom w:color="cbd5e1" w:space="0" w:sz="4" w:val="single"/>
          <w:right w:color="000000" w:space="0" w:sz="0" w:val="nil"/>
          <w:insideH w:color="cbd5e1" w:space="0" w:sz="4" w:val="single"/>
          <w:insideV w:color="000000" w:space="0" w:sz="0" w:val="nil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Organización: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BanCoppel — Dirección de Arquitectura y 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 de Emisión: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Agosto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Alcance: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Todas las capas de desarrollo, integración, cloud e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Estado del Doc: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Aprobado / Estándar Institucional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spacing w:after="12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3366"/>
          <w:sz w:val="32"/>
          <w:szCs w:val="32"/>
          <w:rtl w:val="0"/>
        </w:rPr>
        <w:t xml:space="preserve">1. Visión General de Arquitectura Empresarial y Gobierno Tecnológico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tl w:val="0"/>
        </w:rPr>
        <w:t xml:space="preserve">El presente documento establece los lineamientos obligatorios de arquitectura empresarial, stack tecnológico homologado, patrones de arquitectura, patrones de diseño de software y requerimientos operacionales para el desarrollo y puesta en producción de soluciones de software en BanCoppel. Este marco garantiza la alineación estratégica con la regulación bancaria de la Comisión Nacional Bancaria y de Valores (CNBV), promoviendo la alta disponibilidad, la resiliencia operativa, el no repudio de transacciones y el principio de Zero Trust.</w:t>
      </w:r>
    </w:p>
    <w:tbl>
      <w:tblPr>
        <w:tblStyle w:val="Table2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3366" w:space="0" w:sz="2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0A">
            <w:pPr>
              <w:spacing w:after="8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003366"/>
                <w:sz w:val="20"/>
                <w:szCs w:val="20"/>
                <w:rtl w:val="0"/>
              </w:rPr>
              <w:t xml:space="preserve">■ CUMPLIMIENTO NORMATIVO CNBV Y GOBIERNO DE ARQUITECTURA</w:t>
              <w:br w:type="textWrapping"/>
            </w: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CUMPLIMIENTO NORMATIVO OBLIGATORIO: Todos los proyectos de desarrollo deben validar su diseño técnico contra este documento durante la fase de Arquitectura de Solución (Gate 2 del ciclo SDLC). Cualquier desviación requiere una dispensa formal firmada por el Comité de Arquitectura y la Dirección de Ciberseguridad.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spacing w:after="12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3366"/>
          <w:sz w:val="32"/>
          <w:szCs w:val="32"/>
          <w:rtl w:val="0"/>
        </w:rPr>
        <w:t xml:space="preserve">2. Stack Tecnológico Permitido por Capa de Arquitectura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Rule="auto"/>
        <w:rPr/>
      </w:pPr>
      <w:r w:rsidDel="00000000" w:rsidR="00000000" w:rsidRPr="00000000">
        <w:rPr>
          <w:rtl w:val="0"/>
        </w:rPr>
        <w:t xml:space="preserve">A continuación se define la matriz de tecnologías autorizadas en BanCoppel por cada capa de dominio tecnológico:</w:t>
      </w:r>
    </w:p>
    <w:tbl>
      <w:tblPr>
        <w:tblStyle w:val="Table3"/>
        <w:tblW w:w="9360.0" w:type="dxa"/>
        <w:jc w:val="center"/>
        <w:tblBorders>
          <w:top w:color="cbd5e1" w:space="0" w:sz="4" w:val="single"/>
          <w:left w:color="000000" w:space="0" w:sz="0" w:val="nil"/>
          <w:bottom w:color="cbd5e1" w:space="0" w:sz="4" w:val="single"/>
          <w:right w:color="000000" w:space="0" w:sz="0" w:val="nil"/>
          <w:insideH w:color="cbd5e1" w:space="0" w:sz="4" w:val="single"/>
          <w:insideV w:color="000000" w:space="0" w:sz="0" w:val="nil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003366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Capa de Arquitectura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366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Stack Tecnológico Permitido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366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Estándares y Casos de Uso Autorizados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React.js, React Native, Angular (LTS), Swift, Kotlin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Micro-frontends, componentes del Design System institucional BanCoppel, cifrado local de datos sensibles.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Java 17/21 (Spring Boot 3 LTS), Node.js (TypeScript), Go, Python (FastAPI/Django)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Arquitectura orientada a microservicios, ejecución apátrida (stateless), aislamiento por Domain-Driven Design (DDD).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Integración &amp; APIs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Apigee / WSO2 API Manager, Apache Kafka, RabbitMQ, REST/OpenAPI 3.0, gRPC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Arquitectura orientada a eventos (EDA), contratos OpenAPI estandarizados, seguridad mTLS y tokens JWT OAuth 2.0.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Bases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PostgreSQL, Oracle DB, MongoDB, Redis, Snowflake, Databricks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Separación estricta entre OLTP y OLAP, modelos multitenant segregados, cifrado transparente TDE/AES-256.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Inteligencia Artificial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Python, PyTorch, TensorFlow, MLflow, LangChain, Azure OpenAI (Private Endpoint)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Gobierno de MLOps, canalización privada de inferencia, prohibición de transmisión de PII/PAN a LLMs externos.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Infraestructura &amp; 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AWS / Azure (Regiones México/EE.UU. con KMS dedicado), Kubernetes (EKS/AKS), Terraform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Estrategia híbrida/multi-cloud, provisionamiento declarativo mediante Infrastructure as Code (IaC) e inmutabilidad.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Seguridad &amp; Gobierno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HashiCorp Vault, AWS KMS / Azure Key Vault, SonarQube, Veracode, Wiz, Palo Alto Prisma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Zero Trust Architecture, escaneo SAST/DAST/SCA automatizado en CI/CD, gestión centralizada de secretos y SIEM.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spacing w:after="12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3366"/>
          <w:sz w:val="32"/>
          <w:szCs w:val="32"/>
          <w:rtl w:val="0"/>
        </w:rPr>
        <w:t xml:space="preserve">3. Lineamientos de Desarrollo de Soluciones por Capa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spacing w:after="8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4155"/>
          <w:sz w:val="26"/>
          <w:szCs w:val="26"/>
          <w:rtl w:val="0"/>
        </w:rPr>
        <w:t xml:space="preserve">3.1. Capa de Desarrollo (Frontend &amp; Backend)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Microservicios Stateless: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Los componentes backend no deben almacenar estado en memoria local ni en sesión de servidor. Todo el estado debe persistirse en Redis o la base de datos transactional.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Cobertura de Pruebas: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Es obligatoria una cobertura mínima del 80% en pruebas unitarias e integración en el pipeline de CI/CD. Cero vulnerabilidades críticas o altas aceptadas.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Manejo de Excepciones Globales: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Todos los microservicios deben implementar un controlador de excepciones unificado (ej. `@ControllerAdvice` en Spring) que retorne respuestas de error bajo la norma RFC 7807 (Problem Details).</w:t>
      </w:r>
    </w:p>
    <w:p w:rsidR="00000000" w:rsidDel="00000000" w:rsidP="00000000" w:rsidRDefault="00000000" w:rsidRPr="00000000" w14:paraId="0000002C">
      <w:pPr>
        <w:keepNext w:val="1"/>
        <w:spacing w:after="8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4155"/>
          <w:sz w:val="26"/>
          <w:szCs w:val="26"/>
          <w:rtl w:val="0"/>
        </w:rPr>
        <w:t xml:space="preserve">3.2. Capa de Integración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Diseño API First: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Ningún desarrollo de API puede iniciar sin un contrato OpenAPI 3.0 validado y registrado en el repositorio de contratos de la organización.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Versionamiento Semántico: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Las APIs deben seguir versionamiento estricto en el PATH URL (`/api/v1/transferencias`). Cambios no retrocompatibles exigen el incremento de la versión mayor.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Idempotencia Transaccional: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Todas las peticiones `POST` o `PUT` que alteren saldos o estados financieros deben exigir la cabecera `X-Idempotency-Key` respaldada en Redis por un periodo mínimo de 24 horas.</w:t>
      </w:r>
    </w:p>
    <w:p w:rsidR="00000000" w:rsidDel="00000000" w:rsidP="00000000" w:rsidRDefault="00000000" w:rsidRPr="00000000" w14:paraId="00000030">
      <w:pPr>
        <w:keepNext w:val="1"/>
        <w:spacing w:after="8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4155"/>
          <w:sz w:val="26"/>
          <w:szCs w:val="26"/>
          <w:rtl w:val="0"/>
        </w:rPr>
        <w:t xml:space="preserve">3.3. Capa de Datos e Inteligencia Artificial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Transaccionalidad ACID y Patrón SAGA: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Para transacciones distribuidas entre múltiples microservicios, queda prohibido el bloqueo distribuido (2PC). Se exige el uso de Sagas basadas en eventos con acciones compensatorias.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Gobierno de Modelos de IA (MLOps):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Todo modelo de IA/ML en producción debe contar con registro de versión de artefacto y conjunto de datos en MLflow, evaluación continua de data drift y métricas de explicabilidad (SHAP/LIME).</w:t>
      </w:r>
    </w:p>
    <w:p w:rsidR="00000000" w:rsidDel="00000000" w:rsidP="00000000" w:rsidRDefault="00000000" w:rsidRPr="00000000" w14:paraId="00000033">
      <w:pPr>
        <w:keepNext w:val="1"/>
        <w:spacing w:after="8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4155"/>
          <w:sz w:val="26"/>
          <w:szCs w:val="26"/>
          <w:rtl w:val="0"/>
        </w:rPr>
        <w:t xml:space="preserve">3.4. Capa de Infraestructura, Cloud y 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Inmutabilidad de Contenedores: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Las imágenes de contenedor deben construirse a partir de imágenes base consolidadas (*Distroless* o *Alpine* minimal) y ejecutarse bajo usuarios sin privilegios (`non-root`).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Infraestructura como Código (IaC):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Prohibida la creación manual de recursos en consolas de nube. Todo cambio debe aplicarse mediante Terraform con almacenamiento de estado remoto y cifrado (`backend S3/DynamoDB`).</w:t>
      </w:r>
    </w:p>
    <w:p w:rsidR="00000000" w:rsidDel="00000000" w:rsidP="00000000" w:rsidRDefault="00000000" w:rsidRPr="00000000" w14:paraId="0000003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1"/>
        <w:spacing w:after="12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3366"/>
          <w:sz w:val="32"/>
          <w:szCs w:val="32"/>
          <w:rtl w:val="0"/>
        </w:rPr>
        <w:t xml:space="preserve">4. Patrones de Arquitectura de Software Definidos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tl w:val="0"/>
        </w:rPr>
        <w:t xml:space="preserve">A fin de garantizar la escalabilidad, desacoplamiento y mantenibilidad en los sistemas de BanCoppel, se establecen los siguientes patrones de arquitectura como estándares obligatorios de diseño:</w:t>
      </w:r>
    </w:p>
    <w:p w:rsidR="00000000" w:rsidDel="00000000" w:rsidP="00000000" w:rsidRDefault="00000000" w:rsidRPr="00000000" w14:paraId="00000039">
      <w:pPr>
        <w:keepNext w:val="1"/>
        <w:spacing w:after="8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4155"/>
          <w:sz w:val="26"/>
          <w:szCs w:val="26"/>
          <w:rtl w:val="0"/>
        </w:rPr>
        <w:t xml:space="preserve">4.1. Arquitectura de Microservicios Desacoplados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Definición: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División de la aplicación en servicios independientes, enfocados en un dominio de negocio específico, que se despliegan, escalan y operan de forma autónoma.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Regla de Implementación: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Cada microservicio debe poseer su propio esquema de base de datos aislado (*Database-per-service*). Prohibida la consulta directa entre bases de datos de distintos microservicios.</w:t>
      </w:r>
    </w:p>
    <w:p w:rsidR="00000000" w:rsidDel="00000000" w:rsidP="00000000" w:rsidRDefault="00000000" w:rsidRPr="00000000" w14:paraId="0000003C">
      <w:pPr>
        <w:keepNext w:val="1"/>
        <w:spacing w:after="8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4155"/>
          <w:sz w:val="26"/>
          <w:szCs w:val="26"/>
          <w:rtl w:val="0"/>
        </w:rPr>
        <w:t xml:space="preserve">4.2. Arquitectura Hexagonal (Puertos y Adaptadores)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Definición: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Aislamiento estricto de la lógica central del negocio (Dominio) respecto a las dependencias externas como bases de datos, APIs de terceros, marcos web o colas de mensajes.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Componentes: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Dominio (Entidades y Reglas), Puertos (Interfaces de entrada/salida) y Adaptadores (Controladores REST, Repositorios JPA, Clientes Kafka).</w:t>
      </w:r>
    </w:p>
    <w:p w:rsidR="00000000" w:rsidDel="00000000" w:rsidP="00000000" w:rsidRDefault="00000000" w:rsidRPr="00000000" w14:paraId="0000003F">
      <w:pPr>
        <w:keepNext w:val="1"/>
        <w:spacing w:after="8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4155"/>
          <w:sz w:val="26"/>
          <w:szCs w:val="26"/>
          <w:rtl w:val="0"/>
        </w:rPr>
        <w:t xml:space="preserve">4.3. Domain-Driven Design (DDD)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Definición: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Modelado de software estructurado alrededor del dominio del negocio bancario, utilizando un Lenguaje Ubicuo común entre desarrolladores y expertos del negocio.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Aplicación: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Delimitación clara de *Bounded Contexts* (Contextos Delimitados) para dominios como Cuentas, Credenciales, Captación, SPEI y Tarjetas de Crédito.</w:t>
      </w:r>
    </w:p>
    <w:p w:rsidR="00000000" w:rsidDel="00000000" w:rsidP="00000000" w:rsidRDefault="00000000" w:rsidRPr="00000000" w14:paraId="00000042">
      <w:pPr>
        <w:keepNext w:val="1"/>
        <w:spacing w:after="8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4155"/>
          <w:sz w:val="26"/>
          <w:szCs w:val="26"/>
          <w:rtl w:val="0"/>
        </w:rPr>
        <w:t xml:space="preserve">4.4. Event-Driven Architecture (EDA)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Definición: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Patrón de arquitectura donde los servicios se comunican mediante la emisión, detección y consumo de eventos asíncronos a través de un event broker distribuido (Apache Kafka).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Uso Institucional: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Procesamiento de notificaciones, auditoría en tiempo real, actualización de data marts analíticos y desencadenamiento de reglas de prevención de fraudes.</w:t>
      </w:r>
    </w:p>
    <w:p w:rsidR="00000000" w:rsidDel="00000000" w:rsidP="00000000" w:rsidRDefault="00000000" w:rsidRPr="00000000" w14:paraId="00000045">
      <w:pPr>
        <w:keepNext w:val="1"/>
        <w:spacing w:after="8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4155"/>
          <w:sz w:val="26"/>
          <w:szCs w:val="26"/>
          <w:rtl w:val="0"/>
        </w:rPr>
        <w:t xml:space="preserve">4.5. CQRS (Command Query Responsibility Segregation)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Definición: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Separación de las operaciones de lectura (Query) y de escritura (Command) en modelos de datos independientes para optimizar rendimiento y escalabilidad.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Uso en BanCoppel: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Consultas intensivas de estado de cuenta e historial transaccional en App Móvil utilizando réplicas optimizadas en MongoDB/Elasticsearch, mientras que la escritura se ejecuta en el core relacional.</w:t>
      </w:r>
    </w:p>
    <w:p w:rsidR="00000000" w:rsidDel="00000000" w:rsidP="00000000" w:rsidRDefault="00000000" w:rsidRPr="00000000" w14:paraId="00000048">
      <w:pPr>
        <w:keepNext w:val="1"/>
        <w:spacing w:after="8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4155"/>
          <w:sz w:val="26"/>
          <w:szCs w:val="26"/>
          <w:rtl w:val="0"/>
        </w:rPr>
        <w:t xml:space="preserve">4.6. Patrón SAGA (Orquestación / Coreografía)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Definición: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Mecanismo para gestionar transacciones distribuidas de larga duración mediante una secuencia de transacciones locales, donde cada paso publica un evento que desencadena el siguiente paso o una acción compensatoria.</w:t>
      </w:r>
    </w:p>
    <w:p w:rsidR="00000000" w:rsidDel="00000000" w:rsidP="00000000" w:rsidRDefault="00000000" w:rsidRPr="00000000" w14:paraId="0000004A">
      <w:pPr>
        <w:keepNext w:val="1"/>
        <w:spacing w:after="8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4155"/>
          <w:sz w:val="26"/>
          <w:szCs w:val="26"/>
          <w:rtl w:val="0"/>
        </w:rPr>
        <w:t xml:space="preserve">4.7. Transactional Outbox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Definición: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Garantiza la consistencia eventual entre la base de datos transaccional y el broker de eventos almacenando los eventos en una tabla `outbox` en la misma transacción local antes de publicarlos a Kafka.</w:t>
      </w:r>
    </w:p>
    <w:p w:rsidR="00000000" w:rsidDel="00000000" w:rsidP="00000000" w:rsidRDefault="00000000" w:rsidRPr="00000000" w14:paraId="0000004C">
      <w:pPr>
        <w:keepNext w:val="1"/>
        <w:spacing w:after="8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4155"/>
          <w:sz w:val="26"/>
          <w:szCs w:val="26"/>
          <w:rtl w:val="0"/>
        </w:rPr>
        <w:t xml:space="preserve">4.8. Zero Trust Architecture (ZTA)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Definición: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Modelo de seguridad donde la red no presupone confianza implícita. Toda petición, interna o externa, debe autenticarse, autorizarse y cifrarse explícitamente antes de otorgar acceso.</w:t>
      </w:r>
    </w:p>
    <w:p w:rsidR="00000000" w:rsidDel="00000000" w:rsidP="00000000" w:rsidRDefault="00000000" w:rsidRPr="00000000" w14:paraId="0000004E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1"/>
        <w:spacing w:after="12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3366"/>
          <w:sz w:val="32"/>
          <w:szCs w:val="32"/>
          <w:rtl w:val="0"/>
        </w:rPr>
        <w:t xml:space="preserve">5. Patrones de Diseño de Software (GoF &amp; Resiliencia)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tl w:val="0"/>
        </w:rPr>
        <w:t xml:space="preserve">A nivel de desarrollo de código, se exige la implementación estructurada de patrones de diseño orientados a objetos y patrones de resiliencia distribuidos para asegurar la tolerancia a fallos:</w:t>
      </w:r>
    </w:p>
    <w:p w:rsidR="00000000" w:rsidDel="00000000" w:rsidP="00000000" w:rsidRDefault="00000000" w:rsidRPr="00000000" w14:paraId="00000051">
      <w:pPr>
        <w:keepNext w:val="1"/>
        <w:spacing w:after="8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4155"/>
          <w:sz w:val="26"/>
          <w:szCs w:val="26"/>
          <w:rtl w:val="0"/>
        </w:rPr>
        <w:t xml:space="preserve">5.1. Patrón Circuit Breaker (Cortacircuitos - Resilience4j)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Propósito: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Previene fallos en cascada deteniendo temporalmente las peticiones hacia un servicio externo o dependencia que se encuentre degradado o fuera de línea.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Estados: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CLOSED (Operación normal), OPEN (Peticiones cortadas inmediatamente retornando fallback), HALF-OPEN (Peticiones de prueba para evaluar recuperación).</w:t>
      </w:r>
    </w:p>
    <w:p w:rsidR="00000000" w:rsidDel="00000000" w:rsidP="00000000" w:rsidRDefault="00000000" w:rsidRPr="00000000" w14:paraId="00000054">
      <w:pPr>
        <w:keepNext w:val="1"/>
        <w:spacing w:after="8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4155"/>
          <w:sz w:val="26"/>
          <w:szCs w:val="26"/>
          <w:rtl w:val="0"/>
        </w:rPr>
        <w:t xml:space="preserve">5.2. Patrón Retry con Exponential Backoff y Jitter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Propósito: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Reintenta automáticamente peticiones fallidas transitorias incrementando el tiempo de espera de forma exponencial e introduciendo una variación aleatoria (Jitter) para evitar el efecto de avalancha (*Thundering Herd*).</w:t>
      </w:r>
    </w:p>
    <w:p w:rsidR="00000000" w:rsidDel="00000000" w:rsidP="00000000" w:rsidRDefault="00000000" w:rsidRPr="00000000" w14:paraId="00000056">
      <w:pPr>
        <w:keepNext w:val="1"/>
        <w:spacing w:after="8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4155"/>
          <w:sz w:val="26"/>
          <w:szCs w:val="26"/>
          <w:rtl w:val="0"/>
        </w:rPr>
        <w:t xml:space="preserve">5.3. Patrón Bulkhead (Aislamiento de Recursos)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Propósito: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Segmenta los recursos del sistema (hilos de ejecución, conexiones a BD) para evitar que la saturación de una funcionalidad lenta agote la capacidad completa de la aplicación.</w:t>
      </w:r>
    </w:p>
    <w:p w:rsidR="00000000" w:rsidDel="00000000" w:rsidP="00000000" w:rsidRDefault="00000000" w:rsidRPr="00000000" w14:paraId="00000058">
      <w:pPr>
        <w:keepNext w:val="1"/>
        <w:spacing w:after="8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4155"/>
          <w:sz w:val="26"/>
          <w:szCs w:val="26"/>
          <w:rtl w:val="0"/>
        </w:rPr>
        <w:t xml:space="preserve">5.4. Patrón Rate Limiting &amp; Throttling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Propósito: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Protege los servicios controlando la tasa máxima de consumo de clientes por unidad de tiempo, previniendo ataques DoS y sobrecargas accidentales.</w:t>
      </w:r>
    </w:p>
    <w:p w:rsidR="00000000" w:rsidDel="00000000" w:rsidP="00000000" w:rsidRDefault="00000000" w:rsidRPr="00000000" w14:paraId="0000005A">
      <w:pPr>
        <w:keepNext w:val="1"/>
        <w:spacing w:after="8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4155"/>
          <w:sz w:val="26"/>
          <w:szCs w:val="26"/>
          <w:rtl w:val="0"/>
        </w:rPr>
        <w:t xml:space="preserve">5.5. Patrón Sidecar &amp; Vault Agent Injector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Propósito: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Desacopla la gestión de secretos del código fuente adjuntando un proceso secundario (Sidecar Container) que gestiona el ciclo de vida, autenticación y rotación de credenciales en memoria.</w:t>
      </w:r>
    </w:p>
    <w:p w:rsidR="00000000" w:rsidDel="00000000" w:rsidP="00000000" w:rsidRDefault="00000000" w:rsidRPr="00000000" w14:paraId="0000005C">
      <w:pPr>
        <w:keepNext w:val="1"/>
        <w:spacing w:after="8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4155"/>
          <w:sz w:val="26"/>
          <w:szCs w:val="26"/>
          <w:rtl w:val="0"/>
        </w:rPr>
        <w:t xml:space="preserve">5.6. Patrones GoF Esenciales (Repository, Factory, Builder, API Gateway / Facade)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Repository Pattern: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Encapsula la lógica de acceso a datos abstraída del motor ORM o base de datos subyacente.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Builder Pattern: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Utilizado para la construcción inmutable de objetos DTO y Agregados del Dominio reduciendo la inconsistencia de datos.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API Gateway / Facade: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Punto único de entrada que orquesta, autentica, transforma y simplifica las peticiones del cliente hacia múltiples microservicios.</w:t>
      </w:r>
    </w:p>
    <w:p w:rsidR="00000000" w:rsidDel="00000000" w:rsidP="00000000" w:rsidRDefault="00000000" w:rsidRPr="00000000" w14:paraId="00000060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1"/>
        <w:spacing w:after="12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3366"/>
          <w:sz w:val="32"/>
          <w:szCs w:val="32"/>
          <w:rtl w:val="0"/>
        </w:rPr>
        <w:t xml:space="preserve">6. Lineamientos Operativos y Gobernanza Aplicativa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1"/>
        <w:spacing w:after="8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4155"/>
          <w:sz w:val="26"/>
          <w:szCs w:val="26"/>
          <w:rtl w:val="0"/>
        </w:rPr>
        <w:t xml:space="preserve">6.1. Pistas de Auditoría y Logs de 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/>
      </w:pPr>
      <w:r w:rsidDel="00000000" w:rsidR="00000000" w:rsidRPr="00000000">
        <w:rPr>
          <w:rtl w:val="0"/>
        </w:rPr>
        <w:t xml:space="preserve">Todos los componentes del ecosistema bancario deben generar registros de eventos estructurados en formato **JSON** e integrar obligatoriamente las siguientes claves de metadatos para garantizar la trazabilidad end-to-end: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Campos Obligatorios de Log: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`timestamp_utc`, `trace_id`, `span_id`, `service_name`, `environment`, `severity_level`, `client_ip`, `user_id`, `event_type`, `message`.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Prohibición de Datos Sensibles (PII/PAN Masking):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Estrictamente prohibido registrar Números de Tarjeta (PAN), CVV/CVC, NIPs, Contraseñas, Claves privadas o Datos Personales Sensibles sin enmascaramiento estricto (`******1234`).</w:t>
      </w:r>
    </w:p>
    <w:p w:rsidR="00000000" w:rsidDel="00000000" w:rsidP="00000000" w:rsidRDefault="00000000" w:rsidRPr="00000000" w14:paraId="00000066">
      <w:pPr>
        <w:keepNext w:val="1"/>
        <w:spacing w:after="8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4155"/>
          <w:sz w:val="26"/>
          <w:szCs w:val="26"/>
          <w:rtl w:val="0"/>
        </w:rPr>
        <w:t xml:space="preserve">6.2. Distribución de Responsabilidades de Logging por Componente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center"/>
        <w:tblBorders>
          <w:top w:color="cbd5e1" w:space="0" w:sz="4" w:val="single"/>
          <w:left w:color="000000" w:space="0" w:sz="0" w:val="nil"/>
          <w:bottom w:color="cbd5e1" w:space="0" w:sz="4" w:val="single"/>
          <w:right w:color="000000" w:space="0" w:sz="0" w:val="nil"/>
          <w:insideH w:color="cbd5e1" w:space="0" w:sz="4" w:val="single"/>
          <w:insideV w:color="000000" w:space="0" w:sz="0" w:val="nil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003366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Componente Tecnológico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366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Eventos y Métricas de Auditoría Obligatorias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API Gateway / APIM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Intentos de acceso, fallos de autenticación JWT, ejecuciones de Rate Limit, cambios de enrutamiento, latencia de upstream.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Bases de Datos (OLTP/OLAP)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Conexiones de DBA, cambios en esquemas DDL, ejecución de sentencias sobre datos sensibles, intentos fallidos de login.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Gestor de Contenedores (Kubernetes)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Eventos del API Server, autenticación de usuarios/service accounts, despliegues, modificaciones de NetworkPolicies y Secrets.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Microservicios / Aplicaciones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Inicio de transacciones, llamadas a servicios externos, excepciones no controladas, cambios de estado en flujos de negocio.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keepNext w:val="1"/>
        <w:spacing w:after="8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4155"/>
          <w:sz w:val="26"/>
          <w:szCs w:val="26"/>
          <w:rtl w:val="0"/>
        </w:rPr>
        <w:t xml:space="preserve">6.3. BIA, BCP, DRP, Alta Disponibilidad, RPO y RTO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tl w:val="0"/>
        </w:rPr>
        <w:t xml:space="preserve">Las aplicaciones bancarias se clasifican según su evaluación en el Business Impact Analysis (BIA) para definir los objetivos de recuperación:</w:t>
      </w:r>
    </w:p>
    <w:tbl>
      <w:tblPr>
        <w:tblStyle w:val="Table5"/>
        <w:tblW w:w="9360.0" w:type="dxa"/>
        <w:jc w:val="center"/>
        <w:tblBorders>
          <w:top w:color="cbd5e1" w:space="0" w:sz="4" w:val="single"/>
          <w:left w:color="000000" w:space="0" w:sz="0" w:val="nil"/>
          <w:bottom w:color="cbd5e1" w:space="0" w:sz="4" w:val="single"/>
          <w:right w:color="000000" w:space="0" w:sz="0" w:val="nil"/>
          <w:insideH w:color="cbd5e1" w:space="0" w:sz="4" w:val="single"/>
          <w:insideV w:color="000000" w:space="0" w:sz="0" w:val="nil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003366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Nivel de Criticidad BIA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366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Sistemas Comprendidos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366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RTO (Recovery Time)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366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RPO (Recovery Point)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Nivel 0: Sistemas Críticos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Core Bancario, SPEI, Autorización de Tarjetas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 1 hora (DRP Activo-Activo)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RPO = 0 (Replicación Síncrona)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Nivel 1: Canales Digitales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 Banca Móvil, Portal Web, Banca Empresarial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 2 horas (DRP Activo-Pasivo Hot)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RPO &lt; 15 minutos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Nivel 2: Operación Interna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Sistemas de Reporte, CRM, Sistemas Administrativos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 8 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RPO &lt; 24 horas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keepNext w:val="1"/>
        <w:spacing w:after="8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4155"/>
          <w:sz w:val="26"/>
          <w:szCs w:val="26"/>
          <w:rtl w:val="0"/>
        </w:rPr>
        <w:t xml:space="preserve">6.4. Políticas de Respaldos, Secretos y Gestión SIEM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Políticas de Respaldos: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Snapshots diarios automatizados + WAL continuous archiving. Copias inmutables (WORM) retenidas por un periodo regulatorio de 5 a 10 años conforme a la CUB de la CNBV. Pruebas mensuales de restauración obligatorias.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Gestión de Llaves y Secretos: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Prohibidas las credenciales estáticas. Uso de HashiCorp Vault / KMS con rotación automática de credenciales de base de datos cada 90 días y llaves maestras de cifrado anualmente.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Integración con SIEM (Splunk):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Transmisión en tiempo real vía FluentBit encriptado con mTLS. Reglas de correlación activas para bloqueo automático de IPs y alertas de seguridad inmediata ante comportamientos anómalos.</w:t>
      </w:r>
    </w:p>
    <w:p w:rsidR="00000000" w:rsidDel="00000000" w:rsidP="00000000" w:rsidRDefault="00000000" w:rsidRPr="00000000" w14:paraId="0000008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1"/>
        <w:spacing w:after="12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3366"/>
          <w:sz w:val="32"/>
          <w:szCs w:val="32"/>
          <w:rtl w:val="0"/>
        </w:rPr>
        <w:t xml:space="preserve">7. Arquitectura de Referencia: Microservicio Crítico SPEI (Nivel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rPr/>
      </w:pPr>
      <w:r w:rsidDel="00000000" w:rsidR="00000000" w:rsidRPr="00000000">
        <w:rPr>
          <w:rtl w:val="0"/>
        </w:rPr>
        <w:t xml:space="preserve">Como caso práctico estandarizado, se detalla la arquitectura de referencia para el microservicio de Transferencias SPEI, clasificado en Nivel 0 de BIA por su alto impacto operativo y transaccional.</w:t>
      </w:r>
    </w:p>
    <w:p w:rsidR="00000000" w:rsidDel="00000000" w:rsidP="00000000" w:rsidRDefault="00000000" w:rsidRPr="00000000" w14:paraId="0000008A">
      <w:pPr>
        <w:keepNext w:val="1"/>
        <w:spacing w:after="8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4155"/>
          <w:sz w:val="26"/>
          <w:szCs w:val="26"/>
          <w:rtl w:val="0"/>
        </w:rPr>
        <w:t xml:space="preserve">7.1. Especificación Técnica End-to-End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Stack Recomendado: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Java 21 LTS con Spring Boot 3.2, Spring Data JPA, Resilience4j y Spring Kafka.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Estrategia de Resiliencia: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Circuit Breaker configurado con tasa de fallos del 50%, Timeout de 2000ms y Retry con Exponential Backoff.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Persistencia y Eventos: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PostgreSQL 16 Multi-AZ con patrón Outbox y publicación de eventos en Apache Kafka cifrado con TLS.</w:t>
      </w:r>
    </w:p>
    <w:p w:rsidR="00000000" w:rsidDel="00000000" w:rsidP="00000000" w:rsidRDefault="00000000" w:rsidRPr="00000000" w14:paraId="0000008E">
      <w:pPr>
        <w:keepNext w:val="1"/>
        <w:spacing w:after="8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4155"/>
          <w:sz w:val="26"/>
          <w:szCs w:val="26"/>
          <w:rtl w:val="0"/>
        </w:rPr>
        <w:t xml:space="preserve">7.2. Ejemplificación del Registro de Auditoría (Log JSON)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0f172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7"/>
                <w:szCs w:val="17"/>
                <w:rtl w:val="0"/>
              </w:rPr>
              <w:t xml:space="preserve">{</w:t>
              <w:br w:type="textWrapping"/>
              <w:t xml:space="preserve">  "timestamp_utc": "2026-08-10T16:45:00.123Z",</w:t>
              <w:br w:type="textWrapping"/>
              <w:t xml:space="preserve">  "trace_id": "4b8f91c2-3e2a-4a12-89bc-9f12345678ab",</w:t>
              <w:br w:type="textWrapping"/>
              <w:t xml:space="preserve">  "span_id": "9a8b7c6d5e4f3a21",</w:t>
              <w:br w:type="textWrapping"/>
              <w:t xml:space="preserve">  "service_name": "ms-bancoppel-spei-transferencias",</w:t>
              <w:br w:type="textWrapping"/>
              <w:t xml:space="preserve">  "environment": "prd",</w:t>
              <w:br w:type="textWrapping"/>
              <w:t xml:space="preserve">  "severity_level": "INFO",</w:t>
              <w:br w:type="textWrapping"/>
              <w:t xml:space="preserve">  "client_ip": "200.68.128.45",</w:t>
              <w:br w:type="textWrapping"/>
              <w:t xml:space="preserve">  "user_id": "usr_99812304",</w:t>
              <w:br w:type="textWrapping"/>
              <w:t xml:space="preserve">  "event_type": "TRANSACTION_INITIATED",</w:t>
              <w:br w:type="textWrapping"/>
              <w:t xml:space="preserve">  "message": "Solicitud de transferencia SPEI procesada exitosamente",</w:t>
              <w:br w:type="textWrapping"/>
              <w:t xml:space="preserve">  "details": {</w:t>
              <w:br w:type="textWrapping"/>
              <w:t xml:space="preserve">    "monto": 1500.00,</w:t>
              <w:br w:type="textWrapping"/>
              <w:t xml:space="preserve">    "moneda": "MXN",</w:t>
              <w:br w:type="textWrapping"/>
              <w:t xml:space="preserve">    "clabe_origen": "******5678",</w:t>
              <w:br w:type="textWrapping"/>
              <w:t xml:space="preserve">    "banco_destino": "90646",</w:t>
              <w:br w:type="textWrapping"/>
              <w:t xml:space="preserve">    "status": "PENDING_CORE"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1"/>
        <w:spacing w:after="12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3366"/>
          <w:sz w:val="32"/>
          <w:szCs w:val="32"/>
          <w:rtl w:val="0"/>
        </w:rPr>
        <w:t xml:space="preserve">8. Firmas de Aprobación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center"/>
        <w:tblBorders>
          <w:top w:color="cbd5e1" w:space="0" w:sz="4" w:val="single"/>
          <w:left w:color="000000" w:space="0" w:sz="0" w:val="nil"/>
          <w:bottom w:color="cbd5e1" w:space="0" w:sz="4" w:val="single"/>
          <w:right w:color="000000" w:space="0" w:sz="0" w:val="nil"/>
          <w:insideH w:color="cbd5e1" w:space="0" w:sz="4" w:val="single"/>
          <w:insideV w:color="000000" w:space="0" w:sz="0" w:val="nil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00336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Dirección de Arquitectura 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36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Dirección de Ciberseguridad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36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Dirección de Infraestructura y Cloud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Aprobado — Ago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Aprobado — Ago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Aprobado — Ago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e293b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customXml" Target="../customXML/item4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hgX3/y4NH4waoKISJbOBUNYZ3w==">CgMxLjA4AHIhMTh1ekoySlFwUkw2b0lQTmRkYWczeGJDZk41YzVDT3Zj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2648767ADDAC4198CE9FAE936A0E2E" ma:contentTypeVersion="10" ma:contentTypeDescription="Create a new document." ma:contentTypeScope="" ma:versionID="bfce7f8d432cf4f2b54d649024185cc8">
  <xsd:schema xmlns:xsd="http://www.w3.org/2001/XMLSchema" xmlns:xs="http://www.w3.org/2001/XMLSchema" xmlns:p="http://schemas.microsoft.com/office/2006/metadata/properties" xmlns:ns2="bcf21e1d-e7b2-4ba8-bb72-ca5e3ff425f9" targetNamespace="http://schemas.microsoft.com/office/2006/metadata/properties" ma:root="true" ma:fieldsID="db0e3ff7a073da1765cf4c642dfd2d3e" ns2:_="">
    <xsd:import namespace="bcf21e1d-e7b2-4ba8-bb72-ca5e3ff425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f21e1d-e7b2-4ba8-bb72-ca5e3ff425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displayName="Image Tags_0" ma:hidden="true" ma:internalName="lcf76f155ced4ddcb4097134ff3c332f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cf21e1d-e7b2-4ba8-bb72-ca5e3ff425f9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38E5A28A-4F8D-4E0D-A94D-7FFA71ACE7E5}"/>
</file>

<file path=customXML/itemProps3.xml><?xml version="1.0" encoding="utf-8"?>
<ds:datastoreItem xmlns:ds="http://schemas.openxmlformats.org/officeDocument/2006/customXml" ds:itemID="{2F968F0F-42E3-478A-92FD-A1FC1646B156}"/>
</file>

<file path=customXML/itemProps4.xml><?xml version="1.0" encoding="utf-8"?>
<ds:datastoreItem xmlns:ds="http://schemas.openxmlformats.org/officeDocument/2006/customXml" ds:itemID="{11F0D126-36B3-4098-8F25-9A03784A5EEF}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2013-12-23T23:15:00Z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0x010100CC2648767ADDAC4198CE9FAE936A0E2E</vt:lpwstr>
  </property>
</Properties>
</file>