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08" w:right="420" w:firstLine="0"/>
        <w:jc w:val="center"/>
        <w:rPr/>
      </w:pPr>
      <w:r w:rsidDel="00000000" w:rsidR="00000000" w:rsidRPr="00000000">
        <w:rPr/>
        <w:drawing>
          <wp:inline distB="0" distT="0" distL="0" distR="0">
            <wp:extent cx="5599458" cy="4854427"/>
            <wp:effectExtent b="0" l="0" r="0" t="0"/>
            <wp:docPr descr="cara2.jpg" id="51" name="image2.jpg"/>
            <a:graphic>
              <a:graphicData uri="http://schemas.openxmlformats.org/drawingml/2006/picture">
                <pic:pic>
                  <pic:nvPicPr>
                    <pic:cNvPr descr="cara2.jpg" id="0" name="image2.jpg"/>
                    <pic:cNvPicPr preferRelativeResize="0"/>
                  </pic:nvPicPr>
                  <pic:blipFill>
                    <a:blip r:embed="rId7"/>
                    <a:srcRect b="1173" l="0" r="0" t="1171"/>
                    <a:stretch>
                      <a:fillRect/>
                    </a:stretch>
                  </pic:blipFill>
                  <pic:spPr>
                    <a:xfrm>
                      <a:off x="0" y="0"/>
                      <a:ext cx="5599458" cy="48544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rFonts w:ascii="Verdana" w:cs="Verdana" w:eastAsia="Verdana" w:hAnsi="Verdana"/>
          <w:color w:val="000000"/>
          <w:sz w:val="32"/>
          <w:szCs w:val="32"/>
        </w:rPr>
      </w:pPr>
      <w:r w:rsidDel="00000000" w:rsidR="00000000" w:rsidRPr="00000000">
        <w:rPr>
          <w:rtl w:val="0"/>
        </w:rPr>
      </w:r>
    </w:p>
    <w:p w:rsidR="00000000" w:rsidDel="00000000" w:rsidP="00000000" w:rsidRDefault="00000000" w:rsidRPr="00000000" w14:paraId="00000003">
      <w:pPr>
        <w:spacing w:line="360" w:lineRule="auto"/>
        <w:rPr>
          <w:rFonts w:ascii="Verdana" w:cs="Verdana" w:eastAsia="Verdana" w:hAnsi="Verdana"/>
          <w:color w:val="000000"/>
          <w:sz w:val="32"/>
          <w:szCs w:val="32"/>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spacing w:line="360" w:lineRule="auto"/>
        <w:rPr>
          <w:rFonts w:ascii="Museo Sans 500" w:cs="Museo Sans 500" w:eastAsia="Museo Sans 500" w:hAnsi="Museo Sans 500"/>
          <w:b w:val="1"/>
          <w:color w:val="000000"/>
          <w:sz w:val="32"/>
          <w:szCs w:val="32"/>
        </w:rPr>
      </w:pPr>
      <w:r w:rsidDel="00000000" w:rsidR="00000000" w:rsidRPr="00000000">
        <w:rPr>
          <w:rFonts w:ascii="Museo Sans 500" w:cs="Museo Sans 500" w:eastAsia="Museo Sans 500" w:hAnsi="Museo Sans 500"/>
          <w:b w:val="1"/>
          <w:color w:val="000000"/>
          <w:sz w:val="32"/>
          <w:szCs w:val="32"/>
          <w:rtl w:val="0"/>
        </w:rPr>
        <w:t xml:space="preserve">Arquitectura Tecnológica Objetivo Adopción marco TOGAF/BIAN</w:t>
      </w:r>
    </w:p>
    <w:p w:rsidR="00000000" w:rsidDel="00000000" w:rsidP="00000000" w:rsidRDefault="00000000" w:rsidRPr="00000000" w14:paraId="00000006">
      <w:pPr>
        <w:spacing w:line="360" w:lineRule="auto"/>
        <w:rPr>
          <w:rFonts w:ascii="Museo Sans 500" w:cs="Museo Sans 500" w:eastAsia="Museo Sans 500" w:hAnsi="Museo Sans 500"/>
          <w:b w:val="1"/>
          <w:color w:val="000000"/>
          <w:sz w:val="32"/>
          <w:szCs w:val="32"/>
        </w:rPr>
      </w:pPr>
      <w:bookmarkStart w:colFirst="0" w:colLast="0" w:name="_heading=h.17dp8vu" w:id="0"/>
      <w:bookmarkEnd w:id="0"/>
      <w:r w:rsidDel="00000000" w:rsidR="00000000" w:rsidRPr="00000000">
        <w:rPr>
          <w:rFonts w:ascii="Museo Sans 500" w:cs="Museo Sans 500" w:eastAsia="Museo Sans 500" w:hAnsi="Museo Sans 500"/>
          <w:color w:val="000000"/>
          <w:sz w:val="22"/>
          <w:szCs w:val="22"/>
          <w:rtl w:val="0"/>
        </w:rPr>
        <w:t xml:space="preserve">Elaborado para BanCoppel S.A. Institución de Banca Múltiple</w:t>
      </w:r>
      <w:r w:rsidDel="00000000" w:rsidR="00000000" w:rsidRPr="00000000">
        <w:rPr>
          <w:rtl w:val="0"/>
        </w:rPr>
      </w:r>
    </w:p>
    <w:p w:rsidR="00000000" w:rsidDel="00000000" w:rsidP="00000000" w:rsidRDefault="00000000" w:rsidRPr="00000000" w14:paraId="00000007">
      <w:pPr>
        <w:spacing w:line="360" w:lineRule="auto"/>
        <w:rPr>
          <w:rFonts w:ascii="Museo Sans 500" w:cs="Museo Sans 500" w:eastAsia="Museo Sans 500" w:hAnsi="Museo Sans 500"/>
          <w:b w:val="1"/>
          <w:color w:val="000000"/>
          <w:sz w:val="32"/>
          <w:szCs w:val="32"/>
        </w:rPr>
      </w:pPr>
      <w:r w:rsidDel="00000000" w:rsidR="00000000" w:rsidRPr="00000000">
        <w:rPr>
          <w:rFonts w:ascii="Museo Sans 500" w:cs="Museo Sans 500" w:eastAsia="Museo Sans 500" w:hAnsi="Museo Sans 500"/>
          <w:b w:val="1"/>
          <w:color w:val="000000"/>
          <w:sz w:val="32"/>
          <w:szCs w:val="32"/>
          <w:rtl w:val="0"/>
        </w:rPr>
        <w:t xml:space="preserve">Vista de Contexto</w:t>
      </w:r>
    </w:p>
    <w:p w:rsidR="00000000" w:rsidDel="00000000" w:rsidP="00000000" w:rsidRDefault="00000000" w:rsidRPr="00000000" w14:paraId="00000008">
      <w:pPr>
        <w:spacing w:line="360" w:lineRule="auto"/>
        <w:rPr>
          <w:rFonts w:ascii="Museo Sans 500" w:cs="Museo Sans 500" w:eastAsia="Museo Sans 500" w:hAnsi="Museo Sans 500"/>
          <w:b w:val="1"/>
          <w:color w:val="000000"/>
          <w:sz w:val="32"/>
          <w:szCs w:val="32"/>
        </w:rPr>
      </w:pPr>
      <w:r w:rsidDel="00000000" w:rsidR="00000000" w:rsidRPr="00000000">
        <w:rPr>
          <w:rFonts w:ascii="Museo Sans 300" w:cs="Museo Sans 300" w:eastAsia="Museo Sans 300" w:hAnsi="Museo Sans 300"/>
          <w:b w:val="1"/>
          <w:sz w:val="22"/>
          <w:szCs w:val="22"/>
          <w:rtl w:val="0"/>
        </w:rPr>
        <w:t xml:space="preserve">Nombre de Proyecto: Adopción Banca Digital a través del estándar BIAN</w:t>
      </w:r>
      <w:r w:rsidDel="00000000" w:rsidR="00000000" w:rsidRPr="00000000">
        <w:rPr>
          <w:rtl w:val="0"/>
        </w:rPr>
      </w:r>
    </w:p>
    <w:p w:rsidR="00000000" w:rsidDel="00000000" w:rsidP="00000000" w:rsidRDefault="00000000" w:rsidRPr="00000000" w14:paraId="00000009">
      <w:pPr>
        <w:spacing w:line="360" w:lineRule="auto"/>
        <w:rPr>
          <w:rFonts w:ascii="Museo Sans 300" w:cs="Museo Sans 300" w:eastAsia="Museo Sans 300" w:hAnsi="Museo Sans 300"/>
          <w:i w:val="1"/>
          <w:color w:val="0000ff"/>
          <w:sz w:val="22"/>
          <w:szCs w:val="22"/>
        </w:rPr>
      </w:pPr>
      <w:r w:rsidDel="00000000" w:rsidR="00000000" w:rsidRPr="00000000">
        <w:rPr>
          <w:rFonts w:ascii="Museo Sans 300" w:cs="Museo Sans 300" w:eastAsia="Museo Sans 300" w:hAnsi="Museo Sans 300"/>
          <w:b w:val="1"/>
          <w:sz w:val="22"/>
          <w:szCs w:val="22"/>
          <w:rtl w:val="0"/>
        </w:rPr>
        <w:t xml:space="preserve">Versión:</w:t>
      </w:r>
      <w:r w:rsidDel="00000000" w:rsidR="00000000" w:rsidRPr="00000000">
        <w:rPr>
          <w:rFonts w:ascii="Museo Sans 300" w:cs="Museo Sans 300" w:eastAsia="Museo Sans 300" w:hAnsi="Museo Sans 300"/>
          <w:sz w:val="22"/>
          <w:szCs w:val="22"/>
          <w:rtl w:val="0"/>
        </w:rPr>
        <w:t xml:space="preserve"> </w:t>
      </w:r>
      <w:r w:rsidDel="00000000" w:rsidR="00000000" w:rsidRPr="00000000">
        <w:rPr>
          <w:rFonts w:ascii="Quattrocento Sans" w:cs="Quattrocento Sans" w:eastAsia="Quattrocento Sans" w:hAnsi="Quattrocento Sans"/>
          <w:color w:val="000000"/>
          <w:sz w:val="22"/>
          <w:szCs w:val="22"/>
          <w:rtl w:val="0"/>
        </w:rPr>
        <w:t xml:space="preserve">1</w:t>
      </w:r>
      <w:r w:rsidDel="00000000" w:rsidR="00000000" w:rsidRPr="00000000">
        <w:rPr>
          <w:rFonts w:ascii="Museo Sans 300" w:cs="Museo Sans 300" w:eastAsia="Museo Sans 300" w:hAnsi="Museo Sans 300"/>
          <w:color w:val="000000"/>
          <w:sz w:val="22"/>
          <w:szCs w:val="22"/>
          <w:rtl w:val="0"/>
        </w:rPr>
        <w:t xml:space="preserve"> .4</w:t>
      </w:r>
      <w:r w:rsidDel="00000000" w:rsidR="00000000" w:rsidRPr="00000000">
        <w:rPr>
          <w:rtl w:val="0"/>
        </w:rPr>
      </w:r>
    </w:p>
    <w:p w:rsidR="00000000" w:rsidDel="00000000" w:rsidP="00000000" w:rsidRDefault="00000000" w:rsidRPr="00000000" w14:paraId="0000000A">
      <w:pPr>
        <w:spacing w:line="360" w:lineRule="auto"/>
        <w:rPr>
          <w:rFonts w:ascii="Museo Sans 300" w:cs="Museo Sans 300" w:eastAsia="Museo Sans 300" w:hAnsi="Museo Sans 300"/>
          <w:i w:val="1"/>
          <w:color w:val="0000ff"/>
          <w:sz w:val="22"/>
          <w:szCs w:val="22"/>
        </w:rPr>
      </w:pPr>
      <w:r w:rsidDel="00000000" w:rsidR="00000000" w:rsidRPr="00000000">
        <w:rPr>
          <w:rFonts w:ascii="Museo Sans 300" w:cs="Museo Sans 300" w:eastAsia="Museo Sans 300" w:hAnsi="Museo Sans 300"/>
          <w:b w:val="1"/>
          <w:sz w:val="22"/>
          <w:szCs w:val="22"/>
          <w:rtl w:val="0"/>
        </w:rPr>
        <w:t xml:space="preserve">Última actualización: 7/11/2022</w:t>
      </w:r>
      <w:r w:rsidDel="00000000" w:rsidR="00000000" w:rsidRPr="00000000">
        <w:rPr>
          <w:rtl w:val="0"/>
        </w:rPr>
      </w:r>
    </w:p>
    <w:p w:rsidR="00000000" w:rsidDel="00000000" w:rsidP="00000000" w:rsidRDefault="00000000" w:rsidRPr="00000000" w14:paraId="0000000B">
      <w:pPr>
        <w:spacing w:line="360" w:lineRule="auto"/>
        <w:rPr>
          <w:rFonts w:ascii="Museo Sans 300" w:cs="Museo Sans 300" w:eastAsia="Museo Sans 300" w:hAnsi="Museo Sans 300"/>
          <w:i w:val="1"/>
          <w:color w:val="0000ff"/>
          <w:sz w:val="22"/>
          <w:szCs w:val="22"/>
        </w:rPr>
      </w:pPr>
      <w:r w:rsidDel="00000000" w:rsidR="00000000" w:rsidRPr="00000000">
        <w:rPr>
          <w:rtl w:val="0"/>
        </w:rPr>
      </w:r>
    </w:p>
    <w:p w:rsidR="00000000" w:rsidDel="00000000" w:rsidP="00000000" w:rsidRDefault="00000000" w:rsidRPr="00000000" w14:paraId="0000000C">
      <w:pPr>
        <w:spacing w:line="360" w:lineRule="auto"/>
        <w:rPr>
          <w:rFonts w:ascii="Museo Sans 300" w:cs="Museo Sans 300" w:eastAsia="Museo Sans 300" w:hAnsi="Museo Sans 300"/>
          <w:i w:val="1"/>
          <w:color w:val="0000ff"/>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rPr>
          <w:rFonts w:ascii="Museo Sans 500" w:cs="Museo Sans 500" w:eastAsia="Museo Sans 500" w:hAnsi="Museo Sans 500"/>
          <w:color w:val="000000"/>
          <w:sz w:val="32"/>
          <w:szCs w:val="32"/>
        </w:rPr>
      </w:pPr>
      <w:r w:rsidDel="00000000" w:rsidR="00000000" w:rsidRPr="00000000">
        <w:rPr>
          <w:rFonts w:ascii="Museo Sans 500" w:cs="Museo Sans 500" w:eastAsia="Museo Sans 500" w:hAnsi="Museo Sans 500"/>
          <w:color w:val="000000"/>
          <w:sz w:val="32"/>
          <w:szCs w:val="32"/>
          <w:rtl w:val="0"/>
        </w:rPr>
        <w:t xml:space="preserve">Histórico de Cambios</w:t>
      </w:r>
    </w:p>
    <w:tbl>
      <w:tblPr>
        <w:tblStyle w:val="Table1"/>
        <w:tblW w:w="8828.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09"/>
        <w:gridCol w:w="1476"/>
        <w:gridCol w:w="2721"/>
        <w:gridCol w:w="3522"/>
        <w:tblGridChange w:id="0">
          <w:tblGrid>
            <w:gridCol w:w="1109"/>
            <w:gridCol w:w="1476"/>
            <w:gridCol w:w="2721"/>
            <w:gridCol w:w="3522"/>
          </w:tblGrid>
        </w:tblGridChange>
      </w:tblGrid>
      <w:tr>
        <w:trPr>
          <w:cantSplit w:val="0"/>
          <w:trHeight w:val="454" w:hRule="atLeast"/>
          <w:tblHeader w:val="0"/>
        </w:trPr>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ind w:left="72" w:right="72" w:firstLine="0"/>
              <w:jc w:val="center"/>
              <w:rPr>
                <w:rFonts w:ascii="Museo Sans 500" w:cs="Museo Sans 500" w:eastAsia="Museo Sans 500" w:hAnsi="Museo Sans 500"/>
                <w:b w:val="1"/>
                <w:color w:val="ffffff"/>
                <w:sz w:val="20"/>
                <w:szCs w:val="20"/>
              </w:rPr>
            </w:pPr>
            <w:r w:rsidDel="00000000" w:rsidR="00000000" w:rsidRPr="00000000">
              <w:rPr>
                <w:rFonts w:ascii="Museo Sans 500" w:cs="Museo Sans 500" w:eastAsia="Museo Sans 500" w:hAnsi="Museo Sans 500"/>
                <w:b w:val="1"/>
                <w:color w:val="ffffff"/>
                <w:sz w:val="20"/>
                <w:szCs w:val="20"/>
                <w:rtl w:val="0"/>
              </w:rPr>
              <w:t xml:space="preserve">Versión</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ind w:left="72" w:right="72" w:firstLine="0"/>
              <w:jc w:val="center"/>
              <w:rPr>
                <w:rFonts w:ascii="Museo Sans 500" w:cs="Museo Sans 500" w:eastAsia="Museo Sans 500" w:hAnsi="Museo Sans 500"/>
                <w:b w:val="1"/>
                <w:color w:val="ffffff"/>
                <w:sz w:val="20"/>
                <w:szCs w:val="20"/>
              </w:rPr>
            </w:pPr>
            <w:r w:rsidDel="00000000" w:rsidR="00000000" w:rsidRPr="00000000">
              <w:rPr>
                <w:rFonts w:ascii="Museo Sans 500" w:cs="Museo Sans 500" w:eastAsia="Museo Sans 500" w:hAnsi="Museo Sans 500"/>
                <w:b w:val="1"/>
                <w:color w:val="ffffff"/>
                <w:sz w:val="20"/>
                <w:szCs w:val="20"/>
                <w:rtl w:val="0"/>
              </w:rPr>
              <w:t xml:space="preserve">Fecha</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72" w:right="72" w:firstLine="0"/>
              <w:rPr>
                <w:rFonts w:ascii="Museo Sans 500" w:cs="Museo Sans 500" w:eastAsia="Museo Sans 500" w:hAnsi="Museo Sans 500"/>
                <w:b w:val="1"/>
                <w:color w:val="ffffff"/>
                <w:sz w:val="20"/>
                <w:szCs w:val="20"/>
              </w:rPr>
            </w:pPr>
            <w:r w:rsidDel="00000000" w:rsidR="00000000" w:rsidRPr="00000000">
              <w:rPr>
                <w:rFonts w:ascii="Museo Sans 500" w:cs="Museo Sans 500" w:eastAsia="Museo Sans 500" w:hAnsi="Museo Sans 500"/>
                <w:b w:val="1"/>
                <w:color w:val="ffffff"/>
                <w:sz w:val="20"/>
                <w:szCs w:val="20"/>
                <w:rtl w:val="0"/>
              </w:rPr>
              <w:t xml:space="preserve">Descripción</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ind w:left="72" w:right="72" w:firstLine="0"/>
              <w:rPr>
                <w:rFonts w:ascii="Museo Sans 500" w:cs="Museo Sans 500" w:eastAsia="Museo Sans 500" w:hAnsi="Museo Sans 500"/>
                <w:b w:val="1"/>
                <w:color w:val="ffffff"/>
                <w:sz w:val="20"/>
                <w:szCs w:val="20"/>
              </w:rPr>
            </w:pPr>
            <w:r w:rsidDel="00000000" w:rsidR="00000000" w:rsidRPr="00000000">
              <w:rPr>
                <w:rFonts w:ascii="Museo Sans 500" w:cs="Museo Sans 500" w:eastAsia="Museo Sans 500" w:hAnsi="Museo Sans 500"/>
                <w:b w:val="1"/>
                <w:color w:val="ffffff"/>
                <w:sz w:val="20"/>
                <w:szCs w:val="20"/>
                <w:rtl w:val="0"/>
              </w:rPr>
              <w:t xml:space="preserve">Autor</w:t>
            </w:r>
          </w:p>
        </w:tc>
      </w:tr>
      <w:tr>
        <w:trPr>
          <w:cantSplit w:val="0"/>
          <w:trHeight w:val="45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29/09/2022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Elaboración del Documento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Layerenza / Francisco Gómez / Robert Arcos</w:t>
            </w:r>
          </w:p>
        </w:tc>
      </w:tr>
      <w:tr>
        <w:trPr>
          <w:cantSplit w:val="0"/>
          <w:trHeight w:val="45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#1.1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21/10/2022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Corrección de redacción y ortografía en general.</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Layerenza</w:t>
            </w:r>
          </w:p>
        </w:tc>
      </w:tr>
      <w:tr>
        <w:trPr>
          <w:cantSplit w:val="0"/>
          <w:trHeight w:val="45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#1.2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31/10/2022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Corrección de redacción y ortografía en general.</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Layerenza</w:t>
            </w:r>
          </w:p>
        </w:tc>
      </w:tr>
      <w:tr>
        <w:trPr>
          <w:cantSplit w:val="0"/>
          <w:trHeight w:val="45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#1.3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31/10/2022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Anotación de decisiones de arquitectura vinculadas a RNF-024 y RNF-025</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Layerenza</w:t>
            </w:r>
          </w:p>
        </w:tc>
      </w:tr>
      <w:tr>
        <w:trPr>
          <w:cantSplit w:val="0"/>
          <w:trHeight w:val="45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#1.4</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7/11/2022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Atención de observaciones de referencias en la vista de contexto y servicios externos.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Layerenza</w:t>
            </w:r>
          </w:p>
        </w:tc>
      </w:tr>
    </w:tbl>
    <w:p w:rsidR="00000000" w:rsidDel="00000000" w:rsidP="00000000" w:rsidRDefault="00000000" w:rsidRPr="00000000" w14:paraId="00000026">
      <w:pPr>
        <w:rPr>
          <w:rFonts w:ascii="Museo Sans 300" w:cs="Museo Sans 300" w:eastAsia="Museo Sans 300" w:hAnsi="Museo Sans 300"/>
          <w:color w:val="0000f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rPr>
          <w:rFonts w:ascii="Museo Sans 500" w:cs="Museo Sans 500" w:eastAsia="Museo Sans 500" w:hAnsi="Museo Sans 500"/>
          <w:color w:val="000000"/>
          <w:sz w:val="32"/>
          <w:szCs w:val="32"/>
        </w:rPr>
      </w:pPr>
      <w:r w:rsidDel="00000000" w:rsidR="00000000" w:rsidRPr="00000000">
        <w:rPr>
          <w:rFonts w:ascii="Museo Sans 500" w:cs="Museo Sans 500" w:eastAsia="Museo Sans 500" w:hAnsi="Museo Sans 500"/>
          <w:color w:val="000000"/>
          <w:sz w:val="32"/>
          <w:szCs w:val="32"/>
          <w:rtl w:val="0"/>
        </w:rPr>
        <w:t xml:space="preserve">Índice</w:t>
      </w:r>
    </w:p>
    <w:sdt>
      <w:sdtPr>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rdcrjn">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Información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Introducción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Presentación primaria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Catálogo de elementos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Catálogo de relaciones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Guías de variabilidad</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Justificación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Firmas de Autorización</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2"/>
        </w:numPr>
        <w:ind w:left="720" w:hanging="360"/>
        <w:rPr/>
      </w:pPr>
      <w:bookmarkStart w:colFirst="0" w:colLast="0" w:name="_heading=h.3rdcrjn" w:id="1"/>
      <w:bookmarkEnd w:id="1"/>
      <w:r w:rsidDel="00000000" w:rsidR="00000000" w:rsidRPr="00000000">
        <w:rPr>
          <w:rtl w:val="0"/>
        </w:rPr>
        <w:t xml:space="preserve">Información General</w:t>
      </w:r>
    </w:p>
    <w:tbl>
      <w:tblPr>
        <w:tblStyle w:val="Table2"/>
        <w:tblW w:w="8789.0" w:type="dxa"/>
        <w:jc w:val="left"/>
        <w:tblLayout w:type="fixed"/>
        <w:tblLook w:val="0000"/>
      </w:tblPr>
      <w:tblGrid>
        <w:gridCol w:w="1843"/>
        <w:gridCol w:w="6946"/>
        <w:tblGridChange w:id="0">
          <w:tblGrid>
            <w:gridCol w:w="1843"/>
            <w:gridCol w:w="6946"/>
          </w:tblGrid>
        </w:tblGridChange>
      </w:tblGrid>
      <w:tr>
        <w:trPr>
          <w:cantSplit w:val="0"/>
          <w:trHeight w:val="510" w:hRule="atLeast"/>
          <w:tblHeader w:val="0"/>
        </w:trPr>
        <w:tc>
          <w:tcPr>
            <w:vAlign w:val="bottom"/>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color w:val="000000"/>
                <w:sz w:val="22"/>
                <w:szCs w:val="22"/>
              </w:rPr>
            </w:pPr>
            <w:bookmarkStart w:colFirst="0" w:colLast="0" w:name="_heading=h.30j0zll" w:id="2"/>
            <w:bookmarkEnd w:id="2"/>
            <w:r w:rsidDel="00000000" w:rsidR="00000000" w:rsidRPr="00000000">
              <w:rPr>
                <w:rFonts w:ascii="Quattrocento Sans" w:cs="Quattrocento Sans" w:eastAsia="Quattrocento Sans" w:hAnsi="Quattrocento Sans"/>
                <w:b w:val="1"/>
                <w:color w:val="000000"/>
                <w:sz w:val="20"/>
                <w:szCs w:val="20"/>
                <w:rtl w:val="0"/>
              </w:rPr>
              <w:t xml:space="preserve">Proyecto:</w:t>
            </w:r>
            <w:r w:rsidDel="00000000" w:rsidR="00000000" w:rsidRPr="00000000">
              <w:rPr>
                <w:rtl w:val="0"/>
              </w:rPr>
            </w:r>
          </w:p>
        </w:tc>
        <w:tc>
          <w:tcPr>
            <w:tcBorders>
              <w:bottom w:color="bfbfbf" w:space="0" w:sz="4" w:val="single"/>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Adopción Banca Digital a través del estándar BIAN</w:t>
            </w:r>
          </w:p>
        </w:tc>
      </w:tr>
      <w:tr>
        <w:trPr>
          <w:cantSplit w:val="0"/>
          <w:trHeight w:val="510" w:hRule="atLeast"/>
          <w:tblHeader w:val="0"/>
        </w:trPr>
        <w:tc>
          <w:tcPr>
            <w:vAlign w:val="bottom"/>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Inicio:</w:t>
            </w:r>
          </w:p>
        </w:tc>
        <w:tc>
          <w:tcPr>
            <w:tcBorders>
              <w:top w:color="bfbfbf" w:space="0" w:sz="4" w:val="single"/>
              <w:bottom w:color="bfbfbf" w:space="0" w:sz="4" w:val="single"/>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01/08/2022</w:t>
            </w:r>
          </w:p>
        </w:tc>
      </w:tr>
      <w:tr>
        <w:trPr>
          <w:cantSplit w:val="0"/>
          <w:trHeight w:val="510" w:hRule="atLeast"/>
          <w:tblHeader w:val="0"/>
        </w:trPr>
        <w:tc>
          <w:tcPr>
            <w:vAlign w:val="bottom"/>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Fin:</w:t>
            </w:r>
          </w:p>
        </w:tc>
        <w:tc>
          <w:tcPr>
            <w:tcBorders>
              <w:top w:color="bfbfbf" w:space="0" w:sz="4" w:val="single"/>
              <w:bottom w:color="bfbfbf" w:space="0" w:sz="4" w:val="single"/>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21/10/2022</w:t>
            </w:r>
          </w:p>
        </w:tc>
      </w:tr>
      <w:tr>
        <w:trPr>
          <w:cantSplit w:val="0"/>
          <w:trHeight w:val="510" w:hRule="atLeast"/>
          <w:tblHeader w:val="0"/>
        </w:trPr>
        <w:tc>
          <w:tcPr>
            <w:vAlign w:val="bottom"/>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Cliente:</w:t>
            </w:r>
          </w:p>
        </w:tc>
        <w:tc>
          <w:tcPr>
            <w:tcBorders>
              <w:top w:color="bfbfbf" w:space="0" w:sz="4" w:val="single"/>
              <w:bottom w:color="bfbfbf"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BanCoppel</w:t>
            </w:r>
          </w:p>
        </w:tc>
      </w:tr>
      <w:tr>
        <w:trPr>
          <w:cantSplit w:val="0"/>
          <w:trHeight w:val="510" w:hRule="atLeast"/>
          <w:tblHeader w:val="0"/>
        </w:trPr>
        <w:tc>
          <w:tcPr>
            <w:vAlign w:val="bottom"/>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Patrocinador:</w:t>
            </w:r>
          </w:p>
        </w:tc>
        <w:tc>
          <w:tcPr>
            <w:tcBorders>
              <w:top w:color="bfbfbf" w:space="0" w:sz="4" w:val="single"/>
              <w:bottom w:color="bfbfbf"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Juan Manuel Fernández / Luis Rivera</w:t>
            </w:r>
          </w:p>
        </w:tc>
      </w:tr>
      <w:tr>
        <w:trPr>
          <w:cantSplit w:val="0"/>
          <w:trHeight w:val="510" w:hRule="atLeast"/>
          <w:tblHeader w:val="0"/>
        </w:trPr>
        <w:tc>
          <w:tcPr>
            <w:vAlign w:val="bottom"/>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PM (Cliente):</w:t>
            </w:r>
          </w:p>
        </w:tc>
        <w:tc>
          <w:tcPr>
            <w:tcBorders>
              <w:top w:color="bfbfbf" w:space="0" w:sz="4" w:val="single"/>
              <w:bottom w:color="bfbfbf" w:space="0" w:sz="4"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Meneses</w:t>
            </w:r>
          </w:p>
        </w:tc>
      </w:tr>
      <w:tr>
        <w:trPr>
          <w:cantSplit w:val="0"/>
          <w:trHeight w:val="510" w:hRule="atLeast"/>
          <w:tblHeader w:val="0"/>
        </w:trPr>
        <w:tc>
          <w:tcPr>
            <w:vAlign w:val="bottom"/>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PM (NEORIS):</w:t>
            </w:r>
          </w:p>
        </w:tc>
        <w:tc>
          <w:tcPr>
            <w:tcBorders>
              <w:top w:color="bfbfbf" w:space="0" w:sz="4" w:val="single"/>
              <w:bottom w:color="bfbfbf" w:space="0" w:sz="4"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Robert Arcos</w:t>
            </w:r>
          </w:p>
        </w:tc>
      </w:tr>
    </w:tbl>
    <w:p w:rsidR="00000000" w:rsidDel="00000000" w:rsidP="00000000" w:rsidRDefault="00000000" w:rsidRPr="00000000" w14:paraId="00000048">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9">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A">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B">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C">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D">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E">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F">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0">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1">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2">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3">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4">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5">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6">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7">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8">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9">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A">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B">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C">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D">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E">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F">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60">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61">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62">
      <w:pPr>
        <w:rPr>
          <w:rFonts w:ascii="Museo Sans 300" w:cs="Museo Sans 300" w:eastAsia="Museo Sans 300" w:hAnsi="Museo Sans 300"/>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2"/>
        </w:numPr>
        <w:ind w:left="720" w:hanging="360"/>
        <w:rPr/>
      </w:pPr>
      <w:bookmarkStart w:colFirst="0" w:colLast="0" w:name="_heading=h.26in1rg" w:id="3"/>
      <w:bookmarkEnd w:id="3"/>
      <w:r w:rsidDel="00000000" w:rsidR="00000000" w:rsidRPr="00000000">
        <w:rPr>
          <w:rtl w:val="0"/>
        </w:rPr>
        <w:t xml:space="preserve">Introducción </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900"/>
        </w:tabs>
        <w:spacing w:line="360" w:lineRule="auto"/>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65">
      <w:pPr>
        <w:ind w:left="426" w:firstLine="0"/>
        <w:jc w:val="both"/>
        <w:rPr/>
      </w:pPr>
      <w:r w:rsidDel="00000000" w:rsidR="00000000" w:rsidRPr="00000000">
        <w:rPr>
          <w:rtl w:val="0"/>
        </w:rPr>
        <w:t xml:space="preserve">Este documento describe una vista de contexto de la arquitectura lógica que debe considerar BanCoppel en sus iniciativas de desacoplamiento alineadas a BIAN. Una vista de contexto es una vista de módulos de alto nivel que describe las capas y segmentos considerados en la arquitectura y las relaciones entre ellos.</w:t>
      </w:r>
    </w:p>
    <w:p w:rsidR="00000000" w:rsidDel="00000000" w:rsidP="00000000" w:rsidRDefault="00000000" w:rsidRPr="00000000" w14:paraId="00000066">
      <w:pPr>
        <w:ind w:left="426" w:firstLine="0"/>
        <w:jc w:val="both"/>
        <w:rPr/>
      </w:pPr>
      <w:r w:rsidDel="00000000" w:rsidR="00000000" w:rsidRPr="00000000">
        <w:rPr>
          <w:rtl w:val="0"/>
        </w:rPr>
      </w:r>
    </w:p>
    <w:p w:rsidR="00000000" w:rsidDel="00000000" w:rsidP="00000000" w:rsidRDefault="00000000" w:rsidRPr="00000000" w14:paraId="00000067">
      <w:pPr>
        <w:ind w:left="426" w:firstLine="0"/>
        <w:jc w:val="both"/>
        <w:rPr/>
      </w:pPr>
      <w:r w:rsidDel="00000000" w:rsidR="00000000" w:rsidRPr="00000000">
        <w:rPr>
          <w:rtl w:val="0"/>
        </w:rPr>
        <w:t xml:space="preserve">La siguiente vista posee la siguiente estructura:</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before="120" w:line="276" w:lineRule="auto"/>
        <w:ind w:left="1134" w:hanging="360"/>
        <w:jc w:val="both"/>
        <w:rPr/>
      </w:pPr>
      <w:r w:rsidDel="00000000" w:rsidR="00000000" w:rsidRPr="00000000">
        <w:rPr>
          <w:rFonts w:ascii="Calibri" w:cs="Calibri" w:eastAsia="Calibri" w:hAnsi="Calibri"/>
          <w:b w:val="1"/>
          <w:color w:val="000000"/>
          <w:sz w:val="22"/>
          <w:szCs w:val="22"/>
          <w:rtl w:val="0"/>
        </w:rPr>
        <w:t xml:space="preserve">Presentación primaria</w:t>
      </w:r>
      <w:r w:rsidDel="00000000" w:rsidR="00000000" w:rsidRPr="00000000">
        <w:rPr>
          <w:rFonts w:ascii="Calibri" w:cs="Calibri" w:eastAsia="Calibri" w:hAnsi="Calibri"/>
          <w:color w:val="000000"/>
          <w:sz w:val="22"/>
          <w:szCs w:val="22"/>
          <w:rtl w:val="0"/>
        </w:rPr>
        <w:t xml:space="preserve">: gráfica o texto del aspecto de la solución que se requiere explicar.</w:t>
      </w: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line="276" w:lineRule="auto"/>
        <w:ind w:left="1134" w:hanging="360"/>
        <w:jc w:val="both"/>
        <w:rPr/>
      </w:pPr>
      <w:r w:rsidDel="00000000" w:rsidR="00000000" w:rsidRPr="00000000">
        <w:rPr>
          <w:rFonts w:ascii="Calibri" w:cs="Calibri" w:eastAsia="Calibri" w:hAnsi="Calibri"/>
          <w:b w:val="1"/>
          <w:color w:val="000000"/>
          <w:sz w:val="22"/>
          <w:szCs w:val="22"/>
          <w:rtl w:val="0"/>
        </w:rPr>
        <w:t xml:space="preserve">Catálogo de elementos</w:t>
      </w:r>
      <w:r w:rsidDel="00000000" w:rsidR="00000000" w:rsidRPr="00000000">
        <w:rPr>
          <w:rFonts w:ascii="Calibri" w:cs="Calibri" w:eastAsia="Calibri" w:hAnsi="Calibri"/>
          <w:color w:val="000000"/>
          <w:sz w:val="22"/>
          <w:szCs w:val="22"/>
          <w:rtl w:val="0"/>
        </w:rPr>
        <w:t xml:space="preserve">: explicación de cada elemento que compone la presentación primaria</w:t>
      </w: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line="276" w:lineRule="auto"/>
        <w:ind w:left="1134" w:hanging="360"/>
        <w:jc w:val="both"/>
        <w:rPr/>
      </w:pPr>
      <w:r w:rsidDel="00000000" w:rsidR="00000000" w:rsidRPr="00000000">
        <w:rPr>
          <w:rFonts w:ascii="Calibri" w:cs="Calibri" w:eastAsia="Calibri" w:hAnsi="Calibri"/>
          <w:b w:val="1"/>
          <w:color w:val="000000"/>
          <w:sz w:val="22"/>
          <w:szCs w:val="22"/>
          <w:rtl w:val="0"/>
        </w:rPr>
        <w:t xml:space="preserve">Catálogo de relaciones</w:t>
      </w:r>
      <w:r w:rsidDel="00000000" w:rsidR="00000000" w:rsidRPr="00000000">
        <w:rPr>
          <w:rFonts w:ascii="Calibri" w:cs="Calibri" w:eastAsia="Calibri" w:hAnsi="Calibri"/>
          <w:color w:val="000000"/>
          <w:sz w:val="22"/>
          <w:szCs w:val="22"/>
          <w:rtl w:val="0"/>
        </w:rPr>
        <w:t xml:space="preserve">: explicación de cada relación que compone la presentación primaria</w:t>
      </w:r>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line="276" w:lineRule="auto"/>
        <w:ind w:left="1134" w:hanging="360"/>
        <w:jc w:val="both"/>
        <w:rPr/>
      </w:pPr>
      <w:r w:rsidDel="00000000" w:rsidR="00000000" w:rsidRPr="00000000">
        <w:rPr>
          <w:rFonts w:ascii="Calibri" w:cs="Calibri" w:eastAsia="Calibri" w:hAnsi="Calibri"/>
          <w:b w:val="1"/>
          <w:color w:val="000000"/>
          <w:sz w:val="22"/>
          <w:szCs w:val="22"/>
          <w:rtl w:val="0"/>
        </w:rPr>
        <w:t xml:space="preserve">Guía de variabilidad</w:t>
      </w:r>
      <w:r w:rsidDel="00000000" w:rsidR="00000000" w:rsidRPr="00000000">
        <w:rPr>
          <w:rFonts w:ascii="Calibri" w:cs="Calibri" w:eastAsia="Calibri" w:hAnsi="Calibri"/>
          <w:color w:val="000000"/>
          <w:sz w:val="22"/>
          <w:szCs w:val="22"/>
          <w:rtl w:val="0"/>
        </w:rPr>
        <w:t xml:space="preserve">: muestra cómo ejercer variaciones de los puntos que forman parte de la arquitectura que se muestra en esta vista</w:t>
      </w:r>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after="120" w:line="276" w:lineRule="auto"/>
        <w:ind w:left="1134" w:hanging="360"/>
        <w:jc w:val="both"/>
        <w:rPr/>
      </w:pPr>
      <w:r w:rsidDel="00000000" w:rsidR="00000000" w:rsidRPr="00000000">
        <w:rPr>
          <w:rFonts w:ascii="Calibri" w:cs="Calibri" w:eastAsia="Calibri" w:hAnsi="Calibri"/>
          <w:b w:val="1"/>
          <w:color w:val="000000"/>
          <w:sz w:val="22"/>
          <w:szCs w:val="22"/>
          <w:rtl w:val="0"/>
        </w:rPr>
        <w:t xml:space="preserve">Justificación</w:t>
      </w:r>
      <w:r w:rsidDel="00000000" w:rsidR="00000000" w:rsidRPr="00000000">
        <w:rPr>
          <w:rFonts w:ascii="Calibri" w:cs="Calibri" w:eastAsia="Calibri" w:hAnsi="Calibri"/>
          <w:color w:val="000000"/>
          <w:sz w:val="22"/>
          <w:szCs w:val="22"/>
          <w:rtl w:val="0"/>
        </w:rPr>
        <w:t xml:space="preserve">: El objetivo de esta sección es explicar por qué el diseño es como es y brindar un argumento convincente en función de los requerimientos no funcionales definidos.</w:t>
      </w:r>
      <w:r w:rsidDel="00000000" w:rsidR="00000000" w:rsidRPr="00000000">
        <w:rPr>
          <w:rtl w:val="0"/>
        </w:rPr>
      </w:r>
    </w:p>
    <w:p w:rsidR="00000000" w:rsidDel="00000000" w:rsidP="00000000" w:rsidRDefault="00000000" w:rsidRPr="00000000" w14:paraId="0000006D">
      <w:pPr>
        <w:spacing w:line="276" w:lineRule="auto"/>
        <w:ind w:left="567" w:firstLine="0"/>
        <w:jc w:val="both"/>
        <w:rPr/>
      </w:pPr>
      <w:r w:rsidDel="00000000" w:rsidR="00000000" w:rsidRPr="00000000">
        <w:rPr>
          <w:rtl w:val="0"/>
        </w:rPr>
        <w:t xml:space="preserve">Este documento está dirigido a la siguiente audiencia:</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pacing w:before="120" w:line="276" w:lineRule="auto"/>
        <w:ind w:left="1287" w:hanging="360"/>
        <w:jc w:val="both"/>
        <w:rPr/>
      </w:pPr>
      <w:r w:rsidDel="00000000" w:rsidR="00000000" w:rsidRPr="00000000">
        <w:rPr>
          <w:rFonts w:ascii="Calibri" w:cs="Calibri" w:eastAsia="Calibri" w:hAnsi="Calibri"/>
          <w:color w:val="000000"/>
          <w:sz w:val="22"/>
          <w:szCs w:val="22"/>
          <w:rtl w:val="0"/>
        </w:rPr>
        <w:t xml:space="preserve">VP de Tecnología</w:t>
      </w:r>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Arquitectos empresariales</w:t>
      </w:r>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Arquitectos de solución/aplicaciones</w:t>
      </w:r>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Arquitectos de integración</w:t>
      </w:r>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Diseñadores de software</w:t>
      </w:r>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Desarrolladores de software</w:t>
      </w:r>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Operadores</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Oficial de calidad</w:t>
      </w:r>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120" w:line="276" w:lineRule="auto"/>
        <w:ind w:left="1287" w:hanging="360"/>
        <w:jc w:val="both"/>
        <w:rPr/>
      </w:pPr>
      <w:r w:rsidDel="00000000" w:rsidR="00000000" w:rsidRPr="00000000">
        <w:rPr>
          <w:rFonts w:ascii="Calibri" w:cs="Calibri" w:eastAsia="Calibri" w:hAnsi="Calibri"/>
          <w:color w:val="000000"/>
          <w:sz w:val="22"/>
          <w:szCs w:val="22"/>
          <w:rtl w:val="0"/>
        </w:rPr>
        <w:t xml:space="preserve">Oficial de seguridad</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900"/>
        </w:tabs>
        <w:spacing w:line="360" w:lineRule="auto"/>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78">
      <w:pPr>
        <w:rPr>
          <w:rFonts w:ascii="Museo Sans 300" w:cs="Museo Sans 300" w:eastAsia="Museo Sans 300" w:hAnsi="Museo Sans 300"/>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2"/>
        </w:numPr>
        <w:ind w:left="720" w:hanging="360"/>
        <w:rPr/>
      </w:pPr>
      <w:bookmarkStart w:colFirst="0" w:colLast="0" w:name="_heading=h.lnxbz9" w:id="4"/>
      <w:bookmarkEnd w:id="4"/>
      <w:r w:rsidDel="00000000" w:rsidR="00000000" w:rsidRPr="00000000">
        <w:rPr>
          <w:rtl w:val="0"/>
        </w:rPr>
        <w:t xml:space="preserve">Presentación primaria</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900"/>
        </w:tabs>
        <w:spacing w:before="120" w:line="360" w:lineRule="auto"/>
        <w:ind w:left="-851" w:firstLine="0"/>
        <w:jc w:val="both"/>
        <w:rPr>
          <w:rFonts w:ascii="Quattrocento Sans" w:cs="Quattrocento Sans" w:eastAsia="Quattrocento Sans" w:hAnsi="Quattrocento Sans"/>
        </w:rPr>
      </w:pPr>
      <w:r w:rsidDel="00000000" w:rsidR="00000000" w:rsidRPr="00000000">
        <w:rPr/>
        <w:drawing>
          <wp:inline distB="0" distT="0" distL="0" distR="0">
            <wp:extent cx="6796217" cy="6781607"/>
            <wp:effectExtent b="0" l="0" r="0" t="0"/>
            <wp:docPr id="5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96217" cy="678160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426" w:firstLine="0"/>
        <w:jc w:val="both"/>
        <w:rPr/>
      </w:pPr>
      <w:r w:rsidDel="00000000" w:rsidR="00000000" w:rsidRPr="00000000">
        <w:rPr>
          <w:rtl w:val="0"/>
        </w:rPr>
        <w:t xml:space="preserve">Este diagrama, es una vista modular de los diferentes aspectos a considerar en el diseño de una arquitectura desacoplada alineada a BIAN.  Es una vista general que permite visualizar los diferentes elementos, relaciones y restricciones a través de relaciones de “uso”. Estas relaciones pueden estar clasificadas como: </w:t>
      </w:r>
    </w:p>
    <w:p w:rsidR="00000000" w:rsidDel="00000000" w:rsidP="00000000" w:rsidRDefault="00000000" w:rsidRPr="00000000" w14:paraId="0000007C">
      <w:pPr>
        <w:ind w:left="426" w:firstLine="0"/>
        <w:jc w:val="both"/>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146" w:right="0" w:hanging="360"/>
        <w:jc w:val="both"/>
        <w:rPr>
          <w:rFonts w:ascii="Gill Sans" w:cs="Gill Sans" w:eastAsia="Gill Sans" w:hAnsi="Gill Sans"/>
          <w:b w:val="0"/>
          <w:i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1"/>
          <w:i w:val="0"/>
          <w:smallCaps w:val="0"/>
          <w:strike w:val="0"/>
          <w:color w:val="000000"/>
          <w:sz w:val="20"/>
          <w:szCs w:val="20"/>
          <w:u w:val="none"/>
          <w:shd w:fill="auto" w:val="clear"/>
          <w:vertAlign w:val="baseline"/>
          <w:rtl w:val="0"/>
        </w:rPr>
        <w:t xml:space="preserve">Permitido/a:</w:t>
      </w:r>
      <w:r w:rsidDel="00000000" w:rsidR="00000000" w:rsidRPr="00000000">
        <w:rPr>
          <w:rFonts w:ascii="Gill Sans" w:cs="Gill Sans" w:eastAsia="Gill Sans" w:hAnsi="Gill Sans"/>
          <w:b w:val="0"/>
          <w:i w:val="0"/>
          <w:smallCaps w:val="0"/>
          <w:strike w:val="0"/>
          <w:color w:val="000000"/>
          <w:sz w:val="20"/>
          <w:szCs w:val="20"/>
          <w:u w:val="none"/>
          <w:shd w:fill="auto" w:val="clear"/>
          <w:vertAlign w:val="baseline"/>
          <w:rtl w:val="0"/>
        </w:rPr>
        <w:t xml:space="preserve"> indica que una capa o segmento de la arquitectura tiene permitido utilizar las funciones de otra capa o segmento de arquitectura.</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146" w:right="0" w:hanging="360"/>
        <w:jc w:val="both"/>
        <w:rPr>
          <w:rFonts w:ascii="Gill Sans" w:cs="Gill Sans" w:eastAsia="Gill Sans" w:hAnsi="Gill Sans"/>
          <w:b w:val="0"/>
          <w:i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1"/>
          <w:i w:val="0"/>
          <w:smallCaps w:val="0"/>
          <w:strike w:val="0"/>
          <w:color w:val="000000"/>
          <w:sz w:val="20"/>
          <w:szCs w:val="20"/>
          <w:u w:val="none"/>
          <w:shd w:fill="auto" w:val="clear"/>
          <w:vertAlign w:val="baseline"/>
          <w:rtl w:val="0"/>
        </w:rPr>
        <w:t xml:space="preserve">Restringido/a:</w:t>
      </w:r>
      <w:r w:rsidDel="00000000" w:rsidR="00000000" w:rsidRPr="00000000">
        <w:rPr>
          <w:rFonts w:ascii="Gill Sans" w:cs="Gill Sans" w:eastAsia="Gill Sans" w:hAnsi="Gill Sans"/>
          <w:b w:val="0"/>
          <w:i w:val="0"/>
          <w:smallCaps w:val="0"/>
          <w:strike w:val="0"/>
          <w:color w:val="000000"/>
          <w:sz w:val="20"/>
          <w:szCs w:val="20"/>
          <w:u w:val="none"/>
          <w:shd w:fill="auto" w:val="clear"/>
          <w:vertAlign w:val="baseline"/>
          <w:rtl w:val="0"/>
        </w:rPr>
        <w:t xml:space="preserve"> indica que una capa o segmento de la arquitectura tiene restringido utilizar las funciones de otra capa o segmento de arquitectura de acuerdo a determinado contexto específico. </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146" w:right="0" w:hanging="360"/>
        <w:jc w:val="both"/>
        <w:rPr>
          <w:rFonts w:ascii="Gill Sans" w:cs="Gill Sans" w:eastAsia="Gill Sans" w:hAnsi="Gill Sans"/>
          <w:b w:val="0"/>
          <w:i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1"/>
          <w:i w:val="0"/>
          <w:smallCaps w:val="0"/>
          <w:strike w:val="0"/>
          <w:color w:val="000000"/>
          <w:sz w:val="20"/>
          <w:szCs w:val="20"/>
          <w:u w:val="none"/>
          <w:shd w:fill="auto" w:val="clear"/>
          <w:vertAlign w:val="baseline"/>
          <w:rtl w:val="0"/>
        </w:rPr>
        <w:t xml:space="preserve">Gestionado/a:</w:t>
      </w:r>
      <w:r w:rsidDel="00000000" w:rsidR="00000000" w:rsidRPr="00000000">
        <w:rPr>
          <w:rFonts w:ascii="Gill Sans" w:cs="Gill Sans" w:eastAsia="Gill Sans" w:hAnsi="Gill Sans"/>
          <w:b w:val="0"/>
          <w:i w:val="0"/>
          <w:smallCaps w:val="0"/>
          <w:strike w:val="0"/>
          <w:color w:val="000000"/>
          <w:sz w:val="20"/>
          <w:szCs w:val="20"/>
          <w:u w:val="none"/>
          <w:shd w:fill="auto" w:val="clear"/>
          <w:vertAlign w:val="baseline"/>
          <w:rtl w:val="0"/>
        </w:rPr>
        <w:t xml:space="preserve"> indica que una capa o segmento realiza actividades de gestión sobre otra capa o segmento. Generalmente </w:t>
      </w:r>
      <w:r w:rsidDel="00000000" w:rsidR="00000000" w:rsidRPr="00000000">
        <w:rPr>
          <w:rFonts w:ascii="Gill Sans" w:cs="Gill Sans" w:eastAsia="Gill Sans" w:hAnsi="Gill Sans"/>
          <w:b w:val="0"/>
          <w:i w:val="0"/>
          <w:smallCaps w:val="0"/>
          <w:strike w:val="0"/>
          <w:color w:val="000000"/>
          <w:sz w:val="19"/>
          <w:szCs w:val="19"/>
          <w:u w:val="none"/>
          <w:shd w:fill="auto" w:val="clear"/>
          <w:vertAlign w:val="baseline"/>
          <w:rtl w:val="0"/>
        </w:rPr>
        <w:t xml:space="preserve">funciones</w:t>
      </w:r>
      <w:r w:rsidDel="00000000" w:rsidR="00000000" w:rsidRPr="00000000">
        <w:rPr>
          <w:rFonts w:ascii="Gill Sans" w:cs="Gill Sans" w:eastAsia="Gill Sans" w:hAnsi="Gill Sans"/>
          <w:b w:val="0"/>
          <w:i w:val="0"/>
          <w:smallCaps w:val="0"/>
          <w:strike w:val="0"/>
          <w:color w:val="000000"/>
          <w:sz w:val="20"/>
          <w:szCs w:val="20"/>
          <w:u w:val="none"/>
          <w:shd w:fill="auto" w:val="clear"/>
          <w:vertAlign w:val="baseline"/>
          <w:rtl w:val="0"/>
        </w:rPr>
        <w:t xml:space="preserve"> vinculadas a la administración y monitoreo.</w:t>
      </w:r>
    </w:p>
    <w:p w:rsidR="00000000" w:rsidDel="00000000" w:rsidP="00000000" w:rsidRDefault="00000000" w:rsidRPr="00000000" w14:paraId="00000080">
      <w:pPr>
        <w:jc w:val="both"/>
        <w:rPr/>
      </w:pPr>
      <w:r w:rsidDel="00000000" w:rsidR="00000000" w:rsidRPr="00000000">
        <w:rPr>
          <w:rtl w:val="0"/>
        </w:rPr>
        <w:t xml:space="preserve">En la vista de contexto se abordan capas y segmentos que soportan el cumplimiento de requisitos funcionales y no funcionales de las soluciones. Por este motivo, esta vista posee más detalle y complejidad que la vista de abstracción de 9 capas que se enfoca en un desacoplamiento centrado en lo funcional partiendo de un proceso o escenario de negocio específico de interés. En la siguiente figura, podrá revisar la correspondencia entre el modelo de 9 capas y la vista de contexto.</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b w:val="1"/>
          <w:rtl w:val="0"/>
        </w:rPr>
        <w:t xml:space="preserve">MAPEO VISTA DE CONTEXTO y MODELO DE 9 CAPAS TOGAF/BIAN</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142" w:firstLine="0"/>
        <w:rPr/>
      </w:pPr>
      <w:r w:rsidDel="00000000" w:rsidR="00000000" w:rsidRPr="00000000">
        <w:rPr/>
        <w:drawing>
          <wp:inline distB="0" distT="0" distL="0" distR="0">
            <wp:extent cx="6206850" cy="5265077"/>
            <wp:effectExtent b="0" l="0" r="0" t="0"/>
            <wp:docPr id="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06850" cy="526507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En la vista de contexto también se utilizan colores en algunas relaciones para hacer más legible el diagrama en secciones donde existe varias relaciones cruzándose entre sí. El color en sí no tiene ningún significado especial en la notación utilizada, pero se lo ha utilizado en este diagrama en particular para lo siguiente:</w:t>
      </w:r>
    </w:p>
    <w:p w:rsidR="00000000" w:rsidDel="00000000" w:rsidP="00000000" w:rsidRDefault="00000000" w:rsidRPr="00000000" w14:paraId="00000087">
      <w:pPr>
        <w:jc w:val="both"/>
        <w:rPr/>
      </w:pPr>
      <w:r w:rsidDel="00000000" w:rsidR="00000000" w:rsidRPr="00000000">
        <w:rPr>
          <w:rtl w:val="0"/>
        </w:rPr>
      </w:r>
    </w:p>
    <w:tbl>
      <w:tblPr>
        <w:tblStyle w:val="Table3"/>
        <w:tblW w:w="8828.0" w:type="dxa"/>
        <w:jc w:val="left"/>
        <w:tblBorders>
          <w:top w:color="5f5f5f" w:space="0" w:sz="4" w:val="single"/>
          <w:left w:color="5f5f5f" w:space="0" w:sz="4" w:val="single"/>
          <w:bottom w:color="5f5f5f" w:space="0" w:sz="4" w:val="single"/>
          <w:right w:color="5f5f5f" w:space="0" w:sz="4" w:val="single"/>
          <w:insideH w:color="009999" w:space="0" w:sz="4" w:val="dotted"/>
          <w:insideV w:color="009999" w:space="0" w:sz="4" w:val="dotted"/>
        </w:tblBorders>
        <w:tblLayout w:type="fixed"/>
        <w:tblLook w:val="0400"/>
      </w:tblPr>
      <w:tblGrid>
        <w:gridCol w:w="1980"/>
        <w:gridCol w:w="6848"/>
        <w:tblGridChange w:id="0">
          <w:tblGrid>
            <w:gridCol w:w="1980"/>
            <w:gridCol w:w="6848"/>
          </w:tblGrid>
        </w:tblGridChange>
      </w:tblGrid>
      <w:tr>
        <w:trPr>
          <w:cantSplit w:val="1"/>
          <w:trHeight w:val="265" w:hRule="atLeast"/>
          <w:tblHeader w:val="0"/>
        </w:trPr>
        <w:tc>
          <w:tcPr/>
          <w:p w:rsidR="00000000" w:rsidDel="00000000" w:rsidP="00000000" w:rsidRDefault="00000000" w:rsidRPr="00000000" w14:paraId="00000088">
            <w:pPr>
              <w:jc w:val="center"/>
              <w:rPr/>
            </w:pPr>
            <w:r w:rsidDel="00000000" w:rsidR="00000000" w:rsidRPr="00000000">
              <w:rPr/>
              <mc:AlternateContent>
                <mc:Choice Requires="wpg">
                  <w:drawing>
                    <wp:inline distB="0" distT="0" distL="0" distR="0">
                      <wp:extent cx="330800" cy="116616"/>
                      <wp:effectExtent b="0" l="0" r="0" t="0"/>
                      <wp:docPr id="47" name=""/>
                      <a:graphic>
                        <a:graphicData uri="http://schemas.microsoft.com/office/word/2010/wordprocessingShape">
                          <wps:wsp>
                            <wps:cNvSpPr/>
                            <wps:cNvPr id="3" name="Shape 3"/>
                            <wps:spPr>
                              <a:xfrm>
                                <a:off x="5185363" y="3726455"/>
                                <a:ext cx="321275" cy="107091"/>
                              </a:xfrm>
                              <a:prstGeom prst="roundRect">
                                <a:avLst>
                                  <a:gd fmla="val 16667" name="adj"/>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800" cy="116616"/>
                      <wp:effectExtent b="0" l="0" r="0" t="0"/>
                      <wp:docPr id="47"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30800" cy="116616"/>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89">
            <w:pPr>
              <w:jc w:val="both"/>
              <w:rPr/>
            </w:pPr>
            <w:r w:rsidDel="00000000" w:rsidR="00000000" w:rsidRPr="00000000">
              <w:rPr>
                <w:rtl w:val="0"/>
              </w:rPr>
              <w:t xml:space="preserve">Color predeterminado de las relaciones del diagrama</w:t>
            </w:r>
          </w:p>
        </w:tc>
      </w:tr>
      <w:tr>
        <w:trPr>
          <w:cantSplit w:val="1"/>
          <w:tblHeader w:val="0"/>
        </w:trPr>
        <w:tc>
          <w:tcPr/>
          <w:p w:rsidR="00000000" w:rsidDel="00000000" w:rsidP="00000000" w:rsidRDefault="00000000" w:rsidRPr="00000000" w14:paraId="0000008A">
            <w:pPr>
              <w:jc w:val="center"/>
              <w:rPr/>
            </w:pPr>
            <w:r w:rsidDel="00000000" w:rsidR="00000000" w:rsidRPr="00000000">
              <w:rPr/>
              <mc:AlternateContent>
                <mc:Choice Requires="wpg">
                  <w:drawing>
                    <wp:inline distB="0" distT="0" distL="0" distR="0">
                      <wp:extent cx="330800" cy="116616"/>
                      <wp:effectExtent b="0" l="0" r="0" t="0"/>
                      <wp:docPr id="46" name=""/>
                      <a:graphic>
                        <a:graphicData uri="http://schemas.microsoft.com/office/word/2010/wordprocessingShape">
                          <wps:wsp>
                            <wps:cNvSpPr/>
                            <wps:cNvPr id="2" name="Shape 2"/>
                            <wps:spPr>
                              <a:xfrm>
                                <a:off x="5185363" y="3726455"/>
                                <a:ext cx="321275" cy="107091"/>
                              </a:xfrm>
                              <a:prstGeom prst="roundRect">
                                <a:avLst>
                                  <a:gd fmla="val 16667" name="adj"/>
                                </a:avLst>
                              </a:prstGeom>
                              <a:solidFill>
                                <a:srgbClr val="0A9DD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800" cy="116616"/>
                      <wp:effectExtent b="0" l="0" r="0" t="0"/>
                      <wp:docPr id="46"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330800" cy="116616"/>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8B">
            <w:pPr>
              <w:jc w:val="both"/>
              <w:rPr/>
            </w:pPr>
            <w:r w:rsidDel="00000000" w:rsidR="00000000" w:rsidRPr="00000000">
              <w:rPr>
                <w:rtl w:val="0"/>
              </w:rPr>
              <w:t xml:space="preserve">Color que indica las relaciones de uso que llegan al segmento de API</w:t>
            </w:r>
          </w:p>
        </w:tc>
      </w:tr>
      <w:tr>
        <w:trPr>
          <w:cantSplit w:val="1"/>
          <w:tblHeader w:val="0"/>
        </w:trPr>
        <w:tc>
          <w:tcPr/>
          <w:p w:rsidR="00000000" w:rsidDel="00000000" w:rsidP="00000000" w:rsidRDefault="00000000" w:rsidRPr="00000000" w14:paraId="0000008C">
            <w:pPr>
              <w:jc w:val="center"/>
              <w:rPr/>
            </w:pPr>
            <w:r w:rsidDel="00000000" w:rsidR="00000000" w:rsidRPr="00000000">
              <w:rPr/>
              <mc:AlternateContent>
                <mc:Choice Requires="wpg">
                  <w:drawing>
                    <wp:inline distB="0" distT="0" distL="0" distR="0">
                      <wp:extent cx="330800" cy="116616"/>
                      <wp:effectExtent b="0" l="0" r="0" t="0"/>
                      <wp:docPr id="49" name=""/>
                      <a:graphic>
                        <a:graphicData uri="http://schemas.microsoft.com/office/word/2010/wordprocessingShape">
                          <wps:wsp>
                            <wps:cNvSpPr/>
                            <wps:cNvPr id="5" name="Shape 5"/>
                            <wps:spPr>
                              <a:xfrm>
                                <a:off x="5185363" y="3726455"/>
                                <a:ext cx="321275" cy="107091"/>
                              </a:xfrm>
                              <a:prstGeom prst="roundRect">
                                <a:avLst>
                                  <a:gd fmla="val 16667" name="adj"/>
                                </a:avLst>
                              </a:prstGeom>
                              <a:solidFill>
                                <a:srgbClr val="0000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800" cy="116616"/>
                      <wp:effectExtent b="0" l="0" r="0" t="0"/>
                      <wp:docPr id="49"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330800" cy="116616"/>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8D">
            <w:pPr>
              <w:jc w:val="both"/>
              <w:rPr/>
            </w:pPr>
            <w:r w:rsidDel="00000000" w:rsidR="00000000" w:rsidRPr="00000000">
              <w:rPr>
                <w:rtl w:val="0"/>
              </w:rPr>
              <w:t xml:space="preserve">Color que indica las relaciones de uso salientes de la capa “escenarios de integración” hacia otros elementos, ya sea de su propia capa o correspondientes a otra.</w:t>
            </w:r>
          </w:p>
        </w:tc>
      </w:tr>
      <w:tr>
        <w:trPr>
          <w:cantSplit w:val="1"/>
          <w:tblHeader w:val="0"/>
        </w:trPr>
        <w:tc>
          <w:tcPr/>
          <w:p w:rsidR="00000000" w:rsidDel="00000000" w:rsidP="00000000" w:rsidRDefault="00000000" w:rsidRPr="00000000" w14:paraId="0000008E">
            <w:pPr>
              <w:jc w:val="center"/>
              <w:rPr/>
            </w:pPr>
            <w:r w:rsidDel="00000000" w:rsidR="00000000" w:rsidRPr="00000000">
              <w:rPr/>
              <mc:AlternateContent>
                <mc:Choice Requires="wpg">
                  <w:drawing>
                    <wp:inline distB="0" distT="0" distL="0" distR="0">
                      <wp:extent cx="330800" cy="116616"/>
                      <wp:effectExtent b="0" l="0" r="0" t="0"/>
                      <wp:docPr id="48" name=""/>
                      <a:graphic>
                        <a:graphicData uri="http://schemas.microsoft.com/office/word/2010/wordprocessingShape">
                          <wps:wsp>
                            <wps:cNvSpPr/>
                            <wps:cNvPr id="4" name="Shape 4"/>
                            <wps:spPr>
                              <a:xfrm>
                                <a:off x="5185363" y="3726455"/>
                                <a:ext cx="321275" cy="107091"/>
                              </a:xfrm>
                              <a:prstGeom prst="roundRect">
                                <a:avLst>
                                  <a:gd fmla="val 16667" name="adj"/>
                                </a:avLst>
                              </a:prstGeom>
                              <a:solidFill>
                                <a:srgbClr val="EE82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800" cy="116616"/>
                      <wp:effectExtent b="0" l="0" r="0" t="0"/>
                      <wp:docPr id="48"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330800" cy="116616"/>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8F">
            <w:pPr>
              <w:jc w:val="both"/>
              <w:rPr/>
            </w:pPr>
            <w:r w:rsidDel="00000000" w:rsidR="00000000" w:rsidRPr="00000000">
              <w:rPr>
                <w:rtl w:val="0"/>
              </w:rPr>
              <w:t xml:space="preserve">Color que indica las relaciones de uso de tipo “iniciador” o “disparador”, para el cual el segmento “gestión de eventos” notifica de algún evento de interés a las aplicaciones suscriptas de la capa de consumidores. </w:t>
            </w:r>
          </w:p>
        </w:tc>
      </w:tr>
      <w:tr>
        <w:trPr>
          <w:cantSplit w:val="1"/>
          <w:tblHeader w:val="0"/>
        </w:trPr>
        <w:tc>
          <w:tcPr/>
          <w:p w:rsidR="00000000" w:rsidDel="00000000" w:rsidP="00000000" w:rsidRDefault="00000000" w:rsidRPr="00000000" w14:paraId="00000090">
            <w:pPr>
              <w:jc w:val="center"/>
              <w:rPr/>
            </w:pPr>
            <w:r w:rsidDel="00000000" w:rsidR="00000000" w:rsidRPr="00000000">
              <w:rPr/>
              <mc:AlternateContent>
                <mc:Choice Requires="wpg">
                  <w:drawing>
                    <wp:inline distB="0" distT="0" distL="0" distR="0">
                      <wp:extent cx="330800" cy="116616"/>
                      <wp:effectExtent b="0" l="0" r="0" t="0"/>
                      <wp:docPr id="50" name=""/>
                      <a:graphic>
                        <a:graphicData uri="http://schemas.microsoft.com/office/word/2010/wordprocessingShape">
                          <wps:wsp>
                            <wps:cNvSpPr/>
                            <wps:cNvPr id="6" name="Shape 6"/>
                            <wps:spPr>
                              <a:xfrm>
                                <a:off x="5185363" y="3726455"/>
                                <a:ext cx="321275" cy="107091"/>
                              </a:xfrm>
                              <a:prstGeom prst="roundRect">
                                <a:avLst>
                                  <a:gd fmla="val 16667" name="adj"/>
                                </a:avLst>
                              </a:prstGeom>
                              <a:solidFill>
                                <a:srgbClr val="FF8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800" cy="116616"/>
                      <wp:effectExtent b="0" l="0" r="0" t="0"/>
                      <wp:docPr id="50"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330800" cy="116616"/>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91">
            <w:pPr>
              <w:jc w:val="both"/>
              <w:rPr/>
            </w:pPr>
            <w:r w:rsidDel="00000000" w:rsidR="00000000" w:rsidRPr="00000000">
              <w:rPr>
                <w:rtl w:val="0"/>
              </w:rPr>
              <w:t xml:space="preserve">Color que indica las relaciones de uso que llegan al segmento “gestión de archivos”.</w:t>
            </w:r>
          </w:p>
        </w:tc>
      </w:tr>
    </w:tbl>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En las siguientes secciones del documento se explicará cada capa y segmento de la vista de contexto y las relaciones entre ellas.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pStyle w:val="Heading1"/>
        <w:numPr>
          <w:ilvl w:val="0"/>
          <w:numId w:val="2"/>
        </w:numPr>
        <w:ind w:left="720" w:hanging="360"/>
        <w:rPr/>
      </w:pPr>
      <w:bookmarkStart w:colFirst="0" w:colLast="0" w:name="_heading=h.35nkun2" w:id="5"/>
      <w:bookmarkEnd w:id="5"/>
      <w:r w:rsidDel="00000000" w:rsidR="00000000" w:rsidRPr="00000000">
        <w:rPr>
          <w:rtl w:val="0"/>
        </w:rPr>
        <w:t xml:space="preserve">Catálogo de elementos</w:t>
      </w:r>
    </w:p>
    <w:p w:rsidR="00000000" w:rsidDel="00000000" w:rsidP="00000000" w:rsidRDefault="00000000" w:rsidRPr="00000000" w14:paraId="00000096">
      <w:pPr>
        <w:rPr/>
      </w:pPr>
      <w:r w:rsidDel="00000000" w:rsidR="00000000" w:rsidRPr="00000000">
        <w:rPr>
          <w:rtl w:val="0"/>
        </w:rPr>
      </w:r>
    </w:p>
    <w:tbl>
      <w:tblPr>
        <w:tblStyle w:val="Table4"/>
        <w:tblW w:w="8828.0" w:type="dxa"/>
        <w:jc w:val="left"/>
        <w:tblBorders>
          <w:top w:color="5f5f5f" w:space="0" w:sz="4" w:val="single"/>
          <w:left w:color="5f5f5f" w:space="0" w:sz="4" w:val="single"/>
          <w:bottom w:color="5f5f5f" w:space="0" w:sz="4" w:val="single"/>
          <w:right w:color="5f5f5f" w:space="0" w:sz="4" w:val="single"/>
          <w:insideH w:color="009999" w:space="0" w:sz="4" w:val="dotted"/>
          <w:insideV w:color="009999" w:space="0" w:sz="4" w:val="dotted"/>
        </w:tblBorders>
        <w:tblLayout w:type="fixed"/>
        <w:tblLook w:val="00A0"/>
      </w:tblPr>
      <w:tblGrid>
        <w:gridCol w:w="2654"/>
        <w:gridCol w:w="6174"/>
        <w:tblGridChange w:id="0">
          <w:tblGrid>
            <w:gridCol w:w="2654"/>
            <w:gridCol w:w="6174"/>
          </w:tblGrid>
        </w:tblGridChange>
      </w:tblGrid>
      <w:tr>
        <w:trPr>
          <w:cantSplit w:val="1"/>
          <w:tblHeader w:val="0"/>
        </w:trPr>
        <w:tc>
          <w:tcPr>
            <w:shd w:fill="0070c0" w:val="clear"/>
          </w:tcPr>
          <w:p w:rsidR="00000000" w:rsidDel="00000000" w:rsidP="00000000" w:rsidRDefault="00000000" w:rsidRPr="00000000" w14:paraId="00000097">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Nombre del elemento</w:t>
            </w:r>
          </w:p>
        </w:tc>
        <w:tc>
          <w:tcPr>
            <w:shd w:fill="0070c0" w:val="clear"/>
          </w:tcPr>
          <w:p w:rsidR="00000000" w:rsidDel="00000000" w:rsidP="00000000" w:rsidRDefault="00000000" w:rsidRPr="00000000" w14:paraId="00000098">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Descripción del elemento</w:t>
            </w:r>
          </w:p>
        </w:tc>
      </w:tr>
      <w:tr>
        <w:trPr>
          <w:cantSplit w:val="1"/>
          <w:tblHeader w:val="0"/>
        </w:trPr>
        <w:tc>
          <w:tcPr/>
          <w:p w:rsidR="00000000" w:rsidDel="00000000" w:rsidP="00000000" w:rsidRDefault="00000000" w:rsidRPr="00000000" w14:paraId="0000009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Canales </w:t>
            </w:r>
          </w:p>
        </w:tc>
        <w:tc>
          <w:tcPr/>
          <w:p w:rsidR="00000000" w:rsidDel="00000000" w:rsidP="00000000" w:rsidRDefault="00000000" w:rsidRPr="00000000" w14:paraId="0000009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representa los diferentes canales de BanCoppel que hará uso de la nueva plataforma digital alineada a BIAN. Se identifican los siguientes</w:t>
            </w:r>
          </w:p>
          <w:p w:rsidR="00000000" w:rsidDel="00000000" w:rsidP="00000000" w:rsidRDefault="00000000" w:rsidRPr="00000000" w14:paraId="0000009B">
            <w:pPr>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Móvil - App BanCoppel</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Sucursales - OFI Tradicional</w:t>
            </w:r>
          </w:p>
          <w:p w:rsidR="00000000" w:rsidDel="00000000" w:rsidP="00000000" w:rsidRDefault="00000000" w:rsidRPr="00000000" w14:paraId="0000009E">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Cajas de abono</w:t>
            </w:r>
          </w:p>
          <w:p w:rsidR="00000000" w:rsidDel="00000000" w:rsidP="00000000" w:rsidRDefault="00000000" w:rsidRPr="00000000" w14:paraId="0000009F">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Promotoría</w:t>
            </w:r>
          </w:p>
          <w:p w:rsidR="00000000" w:rsidDel="00000000" w:rsidP="00000000" w:rsidRDefault="00000000" w:rsidRPr="00000000" w14:paraId="000000A0">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Ventanilla bancaria</w:t>
            </w:r>
          </w:p>
          <w:p w:rsidR="00000000" w:rsidDel="00000000" w:rsidP="00000000" w:rsidRDefault="00000000" w:rsidRPr="00000000" w14:paraId="000000A1">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Kioscos</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Sucursales - OFI Web </w:t>
            </w:r>
          </w:p>
          <w:p w:rsidR="00000000" w:rsidDel="00000000" w:rsidP="00000000" w:rsidRDefault="00000000" w:rsidRPr="00000000" w14:paraId="000000A3">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Promotoría</w:t>
            </w:r>
          </w:p>
          <w:p w:rsidR="00000000" w:rsidDel="00000000" w:rsidP="00000000" w:rsidRDefault="00000000" w:rsidRPr="00000000" w14:paraId="000000A4">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Ventanilla bancaria</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Portal - Banca por internet</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Portal - Arrendadora (Salesforce + Proveedores de terceros) - WEB arrendadoracoppel.com</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IVR</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Autorizador E-global - ISO 8583 de POS y Cajeros externos</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Corresponsales MasterCard (OXXO, 7 eleven)</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Corresponsales Coppel (App de Coppel que invoca servicios del BanCoppel)</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Openbanking</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SMS 2 vías</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sdt>
              <w:sdtPr>
                <w:tag w:val="goog_rdk_0"/>
              </w:sdtPr>
              <w:sdtContent>
                <w:r w:rsidDel="00000000" w:rsidR="00000000" w:rsidRPr="00000000">
                  <w:rPr>
                    <w:rFonts w:ascii="Arial" w:cs="Arial" w:eastAsia="Arial" w:hAnsi="Arial"/>
                    <w:sz w:val="18"/>
                    <w:szCs w:val="18"/>
                    <w:rtl w:val="0"/>
                  </w:rPr>
                  <w:t xml:space="preserve">ATM ́s</w:t>
                </w:r>
              </w:sdtContent>
            </w:sdt>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CAT (01800 telefónico)</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WhatsApp</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PyMe (plataforma externa para solicitar créditos</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API Portal</w:t>
            </w:r>
          </w:p>
          <w:p w:rsidR="00000000" w:rsidDel="00000000" w:rsidP="00000000" w:rsidRDefault="00000000" w:rsidRPr="00000000" w14:paraId="000000B2">
            <w:pPr>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B3">
            <w:pPr>
              <w:jc w:val="both"/>
              <w:rPr>
                <w:rFonts w:ascii="Quattrocento Sans" w:cs="Quattrocento Sans" w:eastAsia="Quattrocento Sans" w:hAnsi="Quattrocento Sans"/>
                <w:sz w:val="18"/>
                <w:szCs w:val="18"/>
              </w:rPr>
            </w:pPr>
            <w:r w:rsidDel="00000000" w:rsidR="00000000" w:rsidRPr="00000000">
              <w:rPr>
                <w:rtl w:val="0"/>
              </w:rPr>
              <w:t xml:space="preserve">En la </w:t>
            </w:r>
            <w:r w:rsidDel="00000000" w:rsidR="00000000" w:rsidRPr="00000000">
              <w:rPr>
                <w:rFonts w:ascii="Quattrocento Sans" w:cs="Quattrocento Sans" w:eastAsia="Quattrocento Sans" w:hAnsi="Quattrocento Sans"/>
                <w:sz w:val="18"/>
                <w:szCs w:val="18"/>
                <w:rtl w:val="0"/>
              </w:rPr>
              <w:t xml:space="preserve">arquitectura de BanCoppel se debe impulsar el Portal de API que permita generar ecosistemas de trabajo con partners, proveedores, entidades regulatorias, entre otros. Esto tendría impacto directo sobre el canal actual de Open Banking.</w:t>
            </w:r>
          </w:p>
        </w:tc>
      </w:tr>
      <w:tr>
        <w:trPr>
          <w:cantSplit w:val="1"/>
          <w:tblHeader w:val="0"/>
        </w:trPr>
        <w:tc>
          <w:tcPr/>
          <w:p w:rsidR="00000000" w:rsidDel="00000000" w:rsidP="00000000" w:rsidRDefault="00000000" w:rsidRPr="00000000" w14:paraId="000000B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Consumidores</w:t>
            </w:r>
          </w:p>
        </w:tc>
        <w:tc>
          <w:tcPr/>
          <w:p w:rsidR="00000000" w:rsidDel="00000000" w:rsidP="00000000" w:rsidRDefault="00000000" w:rsidRPr="00000000" w14:paraId="000000B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representa aquellas aplicaciones informáticas (procesos automatizados, coreografías de negocio, sistemas legados, productos de terceros y cualquier aplicación que pueda utilizar servicios y API para implementar su función). que soportan los procesos de negocio y productos digitales de BanCoppel, y para ello, necesitan consumir servicios que están fuera de su alcance. Los elementos que se mapean en la capa de consumidores interactúan con el resto de los elementos de la arquitectura a través de una capa de integración.</w:t>
            </w:r>
          </w:p>
        </w:tc>
      </w:tr>
      <w:tr>
        <w:trPr>
          <w:cantSplit w:val="1"/>
          <w:tblHeader w:val="0"/>
        </w:trPr>
        <w:tc>
          <w:tcPr/>
          <w:p w:rsidR="00000000" w:rsidDel="00000000" w:rsidP="00000000" w:rsidRDefault="00000000" w:rsidRPr="00000000" w14:paraId="000000B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Coreografías de negocio - Consumidores</w:t>
            </w:r>
          </w:p>
        </w:tc>
        <w:tc>
          <w:tcPr/>
          <w:p w:rsidR="00000000" w:rsidDel="00000000" w:rsidP="00000000" w:rsidRDefault="00000000" w:rsidRPr="00000000" w14:paraId="000000B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los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procesos/coreografías de negocio que </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atienden las necesidades de los productos digitales de BanCoppel y se encuentra en la capa de Consumidores heredando sus características.</w:t>
            </w:r>
          </w:p>
        </w:tc>
      </w:tr>
      <w:tr>
        <w:trPr>
          <w:cantSplit w:val="1"/>
          <w:tblHeader w:val="0"/>
        </w:trPr>
        <w:tc>
          <w:tcPr/>
          <w:p w:rsidR="00000000" w:rsidDel="00000000" w:rsidP="00000000" w:rsidRDefault="00000000" w:rsidRPr="00000000" w14:paraId="000000B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propias - Consumidores</w:t>
            </w:r>
          </w:p>
        </w:tc>
        <w:tc>
          <w:tcPr/>
          <w:p w:rsidR="00000000" w:rsidDel="00000000" w:rsidP="00000000" w:rsidRDefault="00000000" w:rsidRPr="00000000" w14:paraId="000000B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aplicaciones construidas o que pueden ser modificadas por la organización y se encuentra en la capa consumidores heredando sus características.</w:t>
            </w:r>
          </w:p>
        </w:tc>
      </w:tr>
      <w:tr>
        <w:trPr>
          <w:cantSplit w:val="1"/>
          <w:trHeight w:val="722" w:hRule="atLeast"/>
          <w:tblHeader w:val="0"/>
        </w:trPr>
        <w:tc>
          <w:tcPr/>
          <w:p w:rsidR="00000000" w:rsidDel="00000000" w:rsidP="00000000" w:rsidRDefault="00000000" w:rsidRPr="00000000" w14:paraId="000000B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de terceros - Consumidores</w:t>
            </w:r>
          </w:p>
        </w:tc>
        <w:tc>
          <w:tcPr/>
          <w:p w:rsidR="00000000" w:rsidDel="00000000" w:rsidP="00000000" w:rsidRDefault="00000000" w:rsidRPr="00000000" w14:paraId="000000B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aplicaciones que están en el dominio de la organización, pero existe una dependencia de actores externos para ser modificadas de acuerdo con nuevos requerimientos y se encuentra en la capa consumidores heredando sus características.</w:t>
            </w:r>
          </w:p>
        </w:tc>
      </w:tr>
      <w:tr>
        <w:trPr>
          <w:cantSplit w:val="1"/>
          <w:tblHeader w:val="0"/>
        </w:trPr>
        <w:tc>
          <w:tcPr/>
          <w:p w:rsidR="00000000" w:rsidDel="00000000" w:rsidP="00000000" w:rsidRDefault="00000000" w:rsidRPr="00000000" w14:paraId="000000B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 - Consumidores</w:t>
            </w:r>
          </w:p>
        </w:tc>
        <w:tc>
          <w:tcPr/>
          <w:p w:rsidR="00000000" w:rsidDel="00000000" w:rsidP="00000000" w:rsidRDefault="00000000" w:rsidRPr="00000000" w14:paraId="000000B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nuevas aplicaciones con enfoque a microservicios con las cuales BanCoppel comenzará a desacoplar capacidades y/o funciones de negocio y se pueden desplegar en entornos de contenedores on-premises o en nube. Este segmento se encuentra en la capa de consumidores heredando sus características.</w:t>
            </w:r>
          </w:p>
        </w:tc>
      </w:tr>
      <w:tr>
        <w:trPr>
          <w:cantSplit w:val="1"/>
          <w:tblHeader w:val="0"/>
        </w:trPr>
        <w:tc>
          <w:tcPr/>
          <w:p w:rsidR="00000000" w:rsidDel="00000000" w:rsidP="00000000" w:rsidRDefault="00000000" w:rsidRPr="00000000" w14:paraId="000000B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Robots - Consumidores</w:t>
            </w:r>
          </w:p>
        </w:tc>
        <w:tc>
          <w:tcPr/>
          <w:p w:rsidR="00000000" w:rsidDel="00000000" w:rsidP="00000000" w:rsidRDefault="00000000" w:rsidRPr="00000000" w14:paraId="000000B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los robots que se configuren con enfoque RPA (Robotic Process Automation) y que automaticen actividades a través de invocación de API o suscribirse a un “Tópico” para recibir eventos de interés.</w:t>
            </w:r>
          </w:p>
        </w:tc>
      </w:tr>
      <w:tr>
        <w:trPr>
          <w:cantSplit w:val="1"/>
          <w:tblHeader w:val="0"/>
        </w:trPr>
        <w:tc>
          <w:tcPr/>
          <w:p w:rsidR="00000000" w:rsidDel="00000000" w:rsidP="00000000" w:rsidRDefault="00000000" w:rsidRPr="00000000" w14:paraId="000000C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Servicios externos - Consumidores</w:t>
            </w:r>
          </w:p>
        </w:tc>
        <w:tc>
          <w:tcPr/>
          <w:p w:rsidR="00000000" w:rsidDel="00000000" w:rsidP="00000000" w:rsidRDefault="00000000" w:rsidRPr="00000000" w14:paraId="000000C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los servicios externos a BanCoppel que acceden a la funcionalidad de negocio publicada a través de API.</w:t>
            </w:r>
          </w:p>
        </w:tc>
      </w:tr>
      <w:tr>
        <w:trPr>
          <w:cantSplit w:val="1"/>
          <w:tblHeader w:val="0"/>
        </w:trPr>
        <w:tc>
          <w:tcPr/>
          <w:p w:rsidR="00000000" w:rsidDel="00000000" w:rsidP="00000000" w:rsidRDefault="00000000" w:rsidRPr="00000000" w14:paraId="000000C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Escenarios de integración</w:t>
            </w:r>
          </w:p>
        </w:tc>
        <w:tc>
          <w:tcPr/>
          <w:p w:rsidR="00000000" w:rsidDel="00000000" w:rsidP="00000000" w:rsidRDefault="00000000" w:rsidRPr="00000000" w14:paraId="000000C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agrupa lógicamente los principales escenarios de integración que deben considerarse en la arquitectura desacoplada de BanCoppel en preparación para adoptar BIAN. Esta capa presta servicio a la capa “Consumidores”.</w:t>
            </w:r>
          </w:p>
        </w:tc>
      </w:tr>
      <w:tr>
        <w:trPr>
          <w:cantSplit w:val="1"/>
          <w:tblHeader w:val="0"/>
        </w:trPr>
        <w:tc>
          <w:tcPr/>
          <w:p w:rsidR="00000000" w:rsidDel="00000000" w:rsidP="00000000" w:rsidRDefault="00000000" w:rsidRPr="00000000" w14:paraId="000000C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guiada por peticiones – Escenarios de integración</w:t>
            </w:r>
          </w:p>
        </w:tc>
        <w:tc>
          <w:tcPr/>
          <w:p w:rsidR="00000000" w:rsidDel="00000000" w:rsidP="00000000" w:rsidRDefault="00000000" w:rsidRPr="00000000" w14:paraId="000000C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a los escenarios de integración síncrona en BanCoppel. En este contexto, las API y Servicios implementan una relación de mediación entre los “proveedores” y “consumidores” en donde se realizan transformación, validaciones, enrutamientos y homologaciones para cubrir las necesidades de un escenario de negocio a través de coreografías.</w:t>
            </w:r>
          </w:p>
          <w:p w:rsidR="00000000" w:rsidDel="00000000" w:rsidP="00000000" w:rsidRDefault="00000000" w:rsidRPr="00000000" w14:paraId="000000C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Como beneficio de este segmento, la capa de consumidores logra abstraerse de las complejidades de integración hacia la capa “Proveedores” disminuyendo el acoplamiento entre Consumidores y Proveedores.</w:t>
            </w:r>
          </w:p>
        </w:tc>
      </w:tr>
      <w:tr>
        <w:trPr>
          <w:cantSplit w:val="1"/>
          <w:tblHeader w:val="0"/>
        </w:trPr>
        <w:tc>
          <w:tcPr/>
          <w:p w:rsidR="00000000" w:rsidDel="00000000" w:rsidP="00000000" w:rsidRDefault="00000000" w:rsidRPr="00000000" w14:paraId="000000C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 – Integración guiada por peticiones</w:t>
            </w:r>
          </w:p>
        </w:tc>
        <w:tc>
          <w:tcPr/>
          <w:p w:rsidR="00000000" w:rsidDel="00000000" w:rsidP="00000000" w:rsidRDefault="00000000" w:rsidRPr="00000000" w14:paraId="000000C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representa las API (Application Program Interface) de recepción tomando de referencia el patrón API LED Connectivity. Un API de recepción es un API de uso específico para un escenario de negocio determinado. Su objetivo es servir de la mejor manera posible a la capa “Consumidora”. Sus principales capacidades giran en torno a la gestión, seguridad y monetización.</w:t>
            </w:r>
          </w:p>
        </w:tc>
      </w:tr>
      <w:tr>
        <w:trPr>
          <w:cantSplit w:val="1"/>
          <w:tblHeader w:val="0"/>
        </w:trPr>
        <w:tc>
          <w:tcPr/>
          <w:p w:rsidR="00000000" w:rsidDel="00000000" w:rsidP="00000000" w:rsidRDefault="00000000" w:rsidRPr="00000000" w14:paraId="000000C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 – Integración guiada por peticiones</w:t>
            </w:r>
          </w:p>
        </w:tc>
        <w:tc>
          <w:tcPr/>
          <w:p w:rsidR="00000000" w:rsidDel="00000000" w:rsidP="00000000" w:rsidRDefault="00000000" w:rsidRPr="00000000" w14:paraId="000000C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API de negocio con capacidades de orquestación y composición de mensajería.  Estas API se diseñan rodeando una capacidad o función de negocio y para ello debe orquestar integraciones a diferentes aplicaciones y/o bases de datos que requieren algunas coreografías o escenarios de negocio. Un API de negocio puede interactuar con:</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ind w:left="720"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API proxy para acceder a sistemas de BanCoppel,</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ind w:left="720"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una Regla de Negocio,</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ind w:left="720"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microservicio que encapsule una función de negocio discreta,</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ind w:left="720"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una coreografía de negocio que encapsule un comportamiento sofisticado del negocio.</w:t>
            </w:r>
          </w:p>
        </w:tc>
      </w:tr>
      <w:tr>
        <w:trPr>
          <w:cantSplit w:val="1"/>
          <w:tblHeader w:val="0"/>
        </w:trPr>
        <w:tc>
          <w:tcPr/>
          <w:p w:rsidR="00000000" w:rsidDel="00000000" w:rsidP="00000000" w:rsidRDefault="00000000" w:rsidRPr="00000000" w14:paraId="000000C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proxy – Integración guiada por peticiones</w:t>
            </w:r>
          </w:p>
        </w:tc>
        <w:tc>
          <w:tcPr/>
          <w:p w:rsidR="00000000" w:rsidDel="00000000" w:rsidP="00000000" w:rsidRDefault="00000000" w:rsidRPr="00000000" w14:paraId="000000D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API que constituyen una “fachada” a diferentes sistemas BanCoppel. Son los “adaptadores” que se comunican a los sistemas Core y legados y son orquestadas por las API de negocio.</w:t>
            </w:r>
          </w:p>
        </w:tc>
      </w:tr>
      <w:tr>
        <w:trPr>
          <w:cantSplit w:val="1"/>
          <w:tblHeader w:val="0"/>
        </w:trPr>
        <w:tc>
          <w:tcPr/>
          <w:p w:rsidR="00000000" w:rsidDel="00000000" w:rsidP="00000000" w:rsidRDefault="00000000" w:rsidRPr="00000000" w14:paraId="000000D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guiada por eventos – Escenarios de integración</w:t>
            </w:r>
          </w:p>
        </w:tc>
        <w:tc>
          <w:tcPr/>
          <w:p w:rsidR="00000000" w:rsidDel="00000000" w:rsidP="00000000" w:rsidRDefault="00000000" w:rsidRPr="00000000" w14:paraId="000000D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a los escenarios de integración asíncrona en BanCoppel. En este contexto, la integración entre aplicaciones se realiza a través de eventos y mensajes. En este esquema de propagación de mensajes, los proveedores (publicadores) y consumidores (suscriptores) no se conocen entre si lo que genera una arquitectura más desacoplada y fácil de escalar. Como beneficio de este segmento, la arquitectura de integración se vuelve más resiliente y se prepara a la organización para un enfoque de microservicios con capacidades de despliegue en la nube.</w:t>
            </w:r>
          </w:p>
        </w:tc>
      </w:tr>
      <w:tr>
        <w:trPr>
          <w:cantSplit w:val="1"/>
          <w:tblHeader w:val="0"/>
        </w:trPr>
        <w:tc>
          <w:tcPr/>
          <w:p w:rsidR="00000000" w:rsidDel="00000000" w:rsidP="00000000" w:rsidRDefault="00000000" w:rsidRPr="00000000" w14:paraId="000000D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 – Integración guiada por eventos</w:t>
            </w:r>
          </w:p>
        </w:tc>
        <w:tc>
          <w:tcPr/>
          <w:p w:rsidR="00000000" w:rsidDel="00000000" w:rsidP="00000000" w:rsidRDefault="00000000" w:rsidRPr="00000000" w14:paraId="000000D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 gestión de eventos en la organización. La gestión de eventos requiere de tres elementos fundamentales: Un publicador, que es el ente que genera el evento de interés, una cola de mensajería, que recopila los eventos que se producen y un suscriptor, que se suscribe a la cola para capturar los eventos que llegan a ella. Una de las características que convierten a la gestión de eventos en una buena opción para “sincronizar” aplicaciones, es que en el mensaje se encuentra toda la información necesaria para que el suscriptor pueda procesar el mensaje, de esta manera no se requiere que el “publicador” intervenga (como ocurre en un escenario de orquestación) y hace que este tipo de enfoque arquitectónicos sean muy fáciles de escalar por su bajo acoplamiento.</w:t>
            </w:r>
          </w:p>
        </w:tc>
      </w:tr>
      <w:tr>
        <w:trPr>
          <w:cantSplit w:val="1"/>
          <w:tblHeader w:val="0"/>
        </w:trPr>
        <w:tc>
          <w:tcPr/>
          <w:p w:rsidR="00000000" w:rsidDel="00000000" w:rsidP="00000000" w:rsidRDefault="00000000" w:rsidRPr="00000000" w14:paraId="000000D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CDC – Integración guiada por eventos</w:t>
            </w:r>
          </w:p>
        </w:tc>
        <w:tc>
          <w:tcPr/>
          <w:p w:rsidR="00000000" w:rsidDel="00000000" w:rsidP="00000000" w:rsidRDefault="00000000" w:rsidRPr="00000000" w14:paraId="000000D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Change Data Capture es una especialización de la gestión de eventos con foco en la detección de eventos de actualización en bases de datos y la propagación de los cambios a otros repositorios de la organización.</w:t>
            </w:r>
          </w:p>
        </w:tc>
      </w:tr>
      <w:tr>
        <w:trPr>
          <w:cantSplit w:val="1"/>
          <w:tblHeader w:val="0"/>
        </w:trPr>
        <w:tc>
          <w:tcPr/>
          <w:p w:rsidR="00000000" w:rsidDel="00000000" w:rsidP="00000000" w:rsidRDefault="00000000" w:rsidRPr="00000000" w14:paraId="000000D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por Robots</w:t>
            </w:r>
          </w:p>
        </w:tc>
        <w:tc>
          <w:tcPr/>
          <w:p w:rsidR="00000000" w:rsidDel="00000000" w:rsidP="00000000" w:rsidRDefault="00000000" w:rsidRPr="00000000" w14:paraId="000000D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los escenarios de integración que pueden abordarse desde un enfoque RPA, ya sea automatizando tareas manuales de digitación en diferentes aplicaciones o procesando archivos entre las mismas.</w:t>
            </w:r>
          </w:p>
        </w:tc>
      </w:tr>
      <w:tr>
        <w:trPr>
          <w:cantSplit w:val="1"/>
          <w:tblHeader w:val="0"/>
        </w:trPr>
        <w:tc>
          <w:tcPr/>
          <w:p w:rsidR="00000000" w:rsidDel="00000000" w:rsidP="00000000" w:rsidRDefault="00000000" w:rsidRPr="00000000" w14:paraId="000000D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RPA - Integración por Robots</w:t>
            </w:r>
          </w:p>
        </w:tc>
        <w:tc>
          <w:tcPr/>
          <w:p w:rsidR="00000000" w:rsidDel="00000000" w:rsidP="00000000" w:rsidRDefault="00000000" w:rsidRPr="00000000" w14:paraId="000000D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consiste en la gestión de flujos RPA que pueden servir para suplir falencias en la integración entre aplicaciones. Por ejemplo, automatizar tareas manuales de doble digitación en sistemas o generar y procesar archivos para asegurar la sincronización de datos.</w:t>
            </w:r>
          </w:p>
        </w:tc>
      </w:tr>
      <w:tr>
        <w:trPr>
          <w:cantSplit w:val="1"/>
          <w:tblHeader w:val="0"/>
        </w:trPr>
        <w:tc>
          <w:tcPr/>
          <w:p w:rsidR="00000000" w:rsidDel="00000000" w:rsidP="00000000" w:rsidRDefault="00000000" w:rsidRPr="00000000" w14:paraId="000000D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por lotes - Escenarios de integración</w:t>
            </w:r>
          </w:p>
        </w:tc>
        <w:tc>
          <w:tcPr/>
          <w:p w:rsidR="00000000" w:rsidDel="00000000" w:rsidP="00000000" w:rsidRDefault="00000000" w:rsidRPr="00000000" w14:paraId="000000D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los escenarios de integración en BanCoppel que mueven grandes volúmenes de información, generalmente a través de flujos ETL (Extract-Transform-Load) o a través de procesamiento de archivos.</w:t>
            </w:r>
          </w:p>
        </w:tc>
      </w:tr>
      <w:tr>
        <w:trPr>
          <w:cantSplit w:val="1"/>
          <w:tblHeader w:val="0"/>
        </w:trPr>
        <w:tc>
          <w:tcPr/>
          <w:p w:rsidR="00000000" w:rsidDel="00000000" w:rsidP="00000000" w:rsidRDefault="00000000" w:rsidRPr="00000000" w14:paraId="000000D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 – Integración por lotes</w:t>
            </w:r>
          </w:p>
        </w:tc>
        <w:tc>
          <w:tcPr/>
          <w:p w:rsidR="00000000" w:rsidDel="00000000" w:rsidP="00000000" w:rsidRDefault="00000000" w:rsidRPr="00000000" w14:paraId="000000D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consiste en la gestión de flujos ETL, que mueven mayormente grandes volúmenes de datos entre múltiples orígenes y destinos. Uno de los casos de uso típico es para alimentar los modelos analíticos del negocio con información operativa para la generación de tableros e indicadores. Existen también otros casos , por ejemplo, para sincronizar información de entidades diferentes y sincronizar información entre aplicaciones sin capacidades de integración a través de API (generalmente legados).</w:t>
            </w:r>
          </w:p>
        </w:tc>
      </w:tr>
      <w:tr>
        <w:trPr>
          <w:cantSplit w:val="1"/>
          <w:tblHeader w:val="0"/>
        </w:trPr>
        <w:tc>
          <w:tcPr/>
          <w:p w:rsidR="00000000" w:rsidDel="00000000" w:rsidP="00000000" w:rsidRDefault="00000000" w:rsidRPr="00000000" w14:paraId="000000D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 – Integración por lotes</w:t>
            </w:r>
          </w:p>
        </w:tc>
        <w:tc>
          <w:tcPr/>
          <w:p w:rsidR="00000000" w:rsidDel="00000000" w:rsidP="00000000" w:rsidRDefault="00000000" w:rsidRPr="00000000" w14:paraId="000000E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consiste en la gestión adecuada de archivos de datos masivos para la sincronización de aplicaciones. En la nueva arquitectura se busca minimizar este tipo de integraciones que suelen ser propensas al error y generan ventanas de “desincronización” de los datos por su característica de procesamiento por lotes (mientras más grande el lote, mayor es la ventana en que los datos se encuentran desincronizados).</w:t>
            </w:r>
          </w:p>
        </w:tc>
      </w:tr>
      <w:tr>
        <w:trPr>
          <w:cantSplit w:val="1"/>
          <w:tblHeader w:val="0"/>
        </w:trPr>
        <w:tc>
          <w:tcPr/>
          <w:p w:rsidR="00000000" w:rsidDel="00000000" w:rsidP="00000000" w:rsidRDefault="00000000" w:rsidRPr="00000000" w14:paraId="000000E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Decisiones de negocio</w:t>
            </w:r>
          </w:p>
        </w:tc>
        <w:tc>
          <w:tcPr/>
          <w:p w:rsidR="00000000" w:rsidDel="00000000" w:rsidP="00000000" w:rsidRDefault="00000000" w:rsidRPr="00000000" w14:paraId="000000E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representa puntos relevantes de decisiones de negocio que se producen en las aplicaciones, procesos y/o escenarios de negocio de BanCoppel. Estas decisiones son soportadas por una o más reglas de negocio conformando los modelos de decisión.</w:t>
            </w:r>
          </w:p>
        </w:tc>
      </w:tr>
      <w:tr>
        <w:trPr>
          <w:cantSplit w:val="1"/>
          <w:tblHeader w:val="0"/>
        </w:trPr>
        <w:tc>
          <w:tcPr/>
          <w:p w:rsidR="00000000" w:rsidDel="00000000" w:rsidP="00000000" w:rsidRDefault="00000000" w:rsidRPr="00000000" w14:paraId="000000E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modelos de decisión</w:t>
            </w:r>
          </w:p>
        </w:tc>
        <w:tc>
          <w:tcPr/>
          <w:p w:rsidR="00000000" w:rsidDel="00000000" w:rsidP="00000000" w:rsidRDefault="00000000" w:rsidRPr="00000000" w14:paraId="000000E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el gestor de modelos de decisión que habilita el desacoplamiento de reglas de negocio de las aplicaciones y/o procesos para simplificar y agilizar su gestión. Generalmente, para soportarlas se utilizan plataformas de tipo DMS (Decision Management Suite).</w:t>
            </w:r>
          </w:p>
        </w:tc>
      </w:tr>
      <w:tr>
        <w:trPr>
          <w:cantSplit w:val="1"/>
          <w:tblHeader w:val="0"/>
        </w:trPr>
        <w:tc>
          <w:tcPr/>
          <w:p w:rsidR="00000000" w:rsidDel="00000000" w:rsidP="00000000" w:rsidRDefault="00000000" w:rsidRPr="00000000" w14:paraId="000000E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Proveedores</w:t>
            </w:r>
          </w:p>
        </w:tc>
        <w:tc>
          <w:tcPr/>
          <w:p w:rsidR="00000000" w:rsidDel="00000000" w:rsidP="00000000" w:rsidRDefault="00000000" w:rsidRPr="00000000" w14:paraId="000000E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representa a los diferentes segmentos de proveedores de información que puede haber en la organización. Esta es una agrupación lógica, y una aplicación puede en algunos escenarios ser un proveedor de información, y en otros, ser un consumidor.</w:t>
            </w:r>
          </w:p>
        </w:tc>
      </w:tr>
      <w:tr>
        <w:trPr>
          <w:cantSplit w:val="1"/>
          <w:tblHeader w:val="0"/>
        </w:trPr>
        <w:tc>
          <w:tcPr/>
          <w:p w:rsidR="00000000" w:rsidDel="00000000" w:rsidP="00000000" w:rsidRDefault="00000000" w:rsidRPr="00000000" w14:paraId="000000E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Coreografías de negocio - Proveedores</w:t>
            </w:r>
          </w:p>
        </w:tc>
        <w:tc>
          <w:tcPr/>
          <w:p w:rsidR="00000000" w:rsidDel="00000000" w:rsidP="00000000" w:rsidRDefault="00000000" w:rsidRPr="00000000" w14:paraId="000000E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coreografías que definen escenarios de negocio y pueden exponerse a través de API para su ejecución. Se encuentra en la capa de Proveedores heredando sus características.</w:t>
            </w:r>
          </w:p>
        </w:tc>
      </w:tr>
      <w:tr>
        <w:trPr>
          <w:cantSplit w:val="1"/>
          <w:tblHeader w:val="0"/>
        </w:trPr>
        <w:tc>
          <w:tcPr/>
          <w:p w:rsidR="00000000" w:rsidDel="00000000" w:rsidP="00000000" w:rsidRDefault="00000000" w:rsidRPr="00000000" w14:paraId="000000E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 - Proveedores</w:t>
            </w:r>
          </w:p>
        </w:tc>
        <w:tc>
          <w:tcPr/>
          <w:p w:rsidR="00000000" w:rsidDel="00000000" w:rsidP="00000000" w:rsidRDefault="00000000" w:rsidRPr="00000000" w14:paraId="000000E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nuevas aplicaciones con enfoque a microservicios con las cuales BanCoppel comenzará a desacoplar capacidades y/o funciones de negocio y se puede desplegar en entornos de contenedores on-premises o en nube. Este segmento se encuentra en la capa de proveedores heredando sus características.</w:t>
            </w:r>
          </w:p>
        </w:tc>
      </w:tr>
      <w:tr>
        <w:trPr>
          <w:cantSplit w:val="1"/>
          <w:tblHeader w:val="0"/>
        </w:trPr>
        <w:tc>
          <w:tcPr/>
          <w:p w:rsidR="00000000" w:rsidDel="00000000" w:rsidP="00000000" w:rsidRDefault="00000000" w:rsidRPr="00000000" w14:paraId="000000E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propias - Proveedores</w:t>
            </w:r>
          </w:p>
        </w:tc>
        <w:tc>
          <w:tcPr/>
          <w:p w:rsidR="00000000" w:rsidDel="00000000" w:rsidP="00000000" w:rsidRDefault="00000000" w:rsidRPr="00000000" w14:paraId="000000E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aplicaciones construidas o que pueden ser modificadas por la organización y se encuentra en la capa proveedores heredando sus características. BanCoppel posee desarrollo y mantenimiento propio y tercerizado de sus aplicaciones propias.</w:t>
            </w:r>
          </w:p>
        </w:tc>
      </w:tr>
      <w:tr>
        <w:trPr>
          <w:cantSplit w:val="1"/>
          <w:tblHeader w:val="0"/>
        </w:trPr>
        <w:tc>
          <w:tcPr/>
          <w:p w:rsidR="00000000" w:rsidDel="00000000" w:rsidP="00000000" w:rsidRDefault="00000000" w:rsidRPr="00000000" w14:paraId="000000E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de terceros - Proveedores</w:t>
            </w:r>
          </w:p>
        </w:tc>
        <w:tc>
          <w:tcPr/>
          <w:p w:rsidR="00000000" w:rsidDel="00000000" w:rsidP="00000000" w:rsidRDefault="00000000" w:rsidRPr="00000000" w14:paraId="000000E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aplicaciones que están en el dominio de la organización, pero existe una dependencia de actores externos para ser modificadas de acuerdo con nuevos requerimientos y se encuentra en la capa proveedores heredando sus características.</w:t>
            </w:r>
          </w:p>
        </w:tc>
      </w:tr>
      <w:tr>
        <w:trPr>
          <w:cantSplit w:val="1"/>
          <w:tblHeader w:val="0"/>
        </w:trPr>
        <w:tc>
          <w:tcPr/>
          <w:p w:rsidR="00000000" w:rsidDel="00000000" w:rsidP="00000000" w:rsidRDefault="00000000" w:rsidRPr="00000000" w14:paraId="000000E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Robots - Proveedores</w:t>
            </w:r>
          </w:p>
        </w:tc>
        <w:tc>
          <w:tcPr/>
          <w:p w:rsidR="00000000" w:rsidDel="00000000" w:rsidP="00000000" w:rsidRDefault="00000000" w:rsidRPr="00000000" w14:paraId="000000F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nuevas aplicaciones con enfoque a RPA y puede funcionar como un proveedor de eventos de interés para que otras aplicaciones puedan sincronizarse.</w:t>
            </w:r>
          </w:p>
        </w:tc>
      </w:tr>
      <w:tr>
        <w:trPr>
          <w:cantSplit w:val="1"/>
          <w:tblHeader w:val="0"/>
        </w:trPr>
        <w:tc>
          <w:tcPr/>
          <w:p w:rsidR="00000000" w:rsidDel="00000000" w:rsidP="00000000" w:rsidRDefault="00000000" w:rsidRPr="00000000" w14:paraId="000000F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Servicios externos - Proveedores</w:t>
            </w:r>
          </w:p>
        </w:tc>
        <w:tc>
          <w:tcPr/>
          <w:p w:rsidR="00000000" w:rsidDel="00000000" w:rsidP="00000000" w:rsidRDefault="00000000" w:rsidRPr="00000000" w14:paraId="000000F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aplicaciones externas a BanCoppel que ofrecen servicios que alguna aplicación o proceso necesita consumir en su ciclo de ejecución.</w:t>
            </w:r>
          </w:p>
        </w:tc>
      </w:tr>
      <w:tr>
        <w:trPr>
          <w:cantSplit w:val="1"/>
          <w:tblHeader w:val="0"/>
        </w:trPr>
        <w:tc>
          <w:tcPr/>
          <w:p w:rsidR="00000000" w:rsidDel="00000000" w:rsidP="00000000" w:rsidRDefault="00000000" w:rsidRPr="00000000" w14:paraId="000000F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Datos</w:t>
            </w:r>
          </w:p>
        </w:tc>
        <w:tc>
          <w:tcPr/>
          <w:p w:rsidR="00000000" w:rsidDel="00000000" w:rsidP="00000000" w:rsidRDefault="00000000" w:rsidRPr="00000000" w14:paraId="000000F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representa las fuentes de datos de BanCoppel. Estos datos pueden ser almacenados y movilizados en diferentes formas.</w:t>
            </w:r>
          </w:p>
        </w:tc>
      </w:tr>
      <w:tr>
        <w:trPr>
          <w:cantSplit w:val="1"/>
          <w:tblHeader w:val="0"/>
        </w:trPr>
        <w:tc>
          <w:tcPr/>
          <w:p w:rsidR="00000000" w:rsidDel="00000000" w:rsidP="00000000" w:rsidRDefault="00000000" w:rsidRPr="00000000" w14:paraId="000000F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 de Registro - Datos No estructurados</w:t>
            </w:r>
          </w:p>
        </w:tc>
        <w:tc>
          <w:tcPr/>
          <w:p w:rsidR="00000000" w:rsidDel="00000000" w:rsidP="00000000" w:rsidRDefault="00000000" w:rsidRPr="00000000" w14:paraId="000000F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fuentes de datos no estructuradas de la organización. Se consideran datos no estructurados a aquellos que se encuentran en documentos, imágenes y videos. Estos datos pueden ser almacenados y movilizados en diferentes formas.</w:t>
            </w:r>
          </w:p>
        </w:tc>
      </w:tr>
      <w:tr>
        <w:trPr>
          <w:cantSplit w:val="1"/>
          <w:tblHeader w:val="0"/>
        </w:trPr>
        <w:tc>
          <w:tcPr/>
          <w:p w:rsidR="00000000" w:rsidDel="00000000" w:rsidP="00000000" w:rsidRDefault="00000000" w:rsidRPr="00000000" w14:paraId="000000F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contenidos - Sistema de Registro - Datos No estructurados</w:t>
            </w:r>
          </w:p>
        </w:tc>
        <w:tc>
          <w:tcPr/>
          <w:p w:rsidR="00000000" w:rsidDel="00000000" w:rsidP="00000000" w:rsidRDefault="00000000" w:rsidRPr="00000000" w14:paraId="000000F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 gestión del ciclo de vida de los contenidos de BanCoppel. Por contenidos, debe entenderse los documentos, imágenes y videos que BanCoppel debe gestionar en un repositorio central para optimizar su acceso desde los procesos, coreografías de negocio y demás aplicaciones que lo requieran.</w:t>
            </w:r>
          </w:p>
        </w:tc>
      </w:tr>
      <w:tr>
        <w:trPr>
          <w:cantSplit w:val="1"/>
          <w:tblHeader w:val="0"/>
        </w:trPr>
        <w:tc>
          <w:tcPr/>
          <w:p w:rsidR="00000000" w:rsidDel="00000000" w:rsidP="00000000" w:rsidRDefault="00000000" w:rsidRPr="00000000" w14:paraId="000000F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Estructurados</w:t>
            </w:r>
          </w:p>
        </w:tc>
        <w:tc>
          <w:tcPr/>
          <w:p w:rsidR="00000000" w:rsidDel="00000000" w:rsidP="00000000" w:rsidRDefault="00000000" w:rsidRPr="00000000" w14:paraId="000000F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fuentes de datos estructurados de la organización. Estos datos pueden ser almacenados y movilizados en diferentes formas.</w:t>
            </w:r>
          </w:p>
        </w:tc>
      </w:tr>
      <w:tr>
        <w:trPr>
          <w:cantSplit w:val="1"/>
          <w:tblHeader w:val="0"/>
        </w:trPr>
        <w:tc>
          <w:tcPr/>
          <w:p w:rsidR="00000000" w:rsidDel="00000000" w:rsidP="00000000" w:rsidRDefault="00000000" w:rsidRPr="00000000" w14:paraId="000000F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Bases de datos Relacionales - Sistemas de Registro - Datos Estructurados</w:t>
            </w:r>
          </w:p>
        </w:tc>
        <w:tc>
          <w:tcPr/>
          <w:p w:rsidR="00000000" w:rsidDel="00000000" w:rsidP="00000000" w:rsidRDefault="00000000" w:rsidRPr="00000000" w14:paraId="000000F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bases de datos relacionales que maneja la entidad. Estos datos son accedidos a través de las API y servicios de BanCoppel para su registro, mantenimiento y consulta.</w:t>
            </w:r>
          </w:p>
        </w:tc>
      </w:tr>
      <w:tr>
        <w:trPr>
          <w:cantSplit w:val="1"/>
          <w:tblHeader w:val="0"/>
        </w:trPr>
        <w:tc>
          <w:tcPr/>
          <w:p w:rsidR="00000000" w:rsidDel="00000000" w:rsidP="00000000" w:rsidRDefault="00000000" w:rsidRPr="00000000" w14:paraId="000000F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Bases de datos NO-SQL - Sistemas de Registro - Datos Estructurados</w:t>
            </w:r>
          </w:p>
        </w:tc>
        <w:tc>
          <w:tcPr/>
          <w:p w:rsidR="00000000" w:rsidDel="00000000" w:rsidP="00000000" w:rsidRDefault="00000000" w:rsidRPr="00000000" w14:paraId="000000F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bases de datos NO-SQL que maneja la entidad. Estos datos son accedidos a través de las API y servicios de BanCoppel para su registro, mantenimiento y consulta.</w:t>
            </w:r>
          </w:p>
        </w:tc>
      </w:tr>
      <w:tr>
        <w:trPr>
          <w:cantSplit w:val="1"/>
          <w:tblHeader w:val="0"/>
        </w:trPr>
        <w:tc>
          <w:tcPr/>
          <w:p w:rsidR="00000000" w:rsidDel="00000000" w:rsidP="00000000" w:rsidRDefault="00000000" w:rsidRPr="00000000" w14:paraId="000000F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Procesamiento y Análisis de Datos - Datos</w:t>
            </w:r>
          </w:p>
        </w:tc>
        <w:tc>
          <w:tcPr/>
          <w:p w:rsidR="00000000" w:rsidDel="00000000" w:rsidP="00000000" w:rsidRDefault="00000000" w:rsidRPr="00000000" w14:paraId="0000010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zonas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de procesamiento y análisis de los datos que la organización requiere para diferentes fines.</w:t>
            </w:r>
          </w:p>
        </w:tc>
      </w:tr>
      <w:tr>
        <w:trPr>
          <w:cantSplit w:val="1"/>
          <w:tblHeader w:val="0"/>
        </w:trPr>
        <w:tc>
          <w:tcPr/>
          <w:p w:rsidR="00000000" w:rsidDel="00000000" w:rsidP="00000000" w:rsidRDefault="00000000" w:rsidRPr="00000000" w14:paraId="0000010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Landing - Procesamiento y Análisis de Datos</w:t>
            </w:r>
          </w:p>
        </w:tc>
        <w:tc>
          <w:tcPr/>
          <w:p w:rsidR="00000000" w:rsidDel="00000000" w:rsidP="00000000" w:rsidRDefault="00000000" w:rsidRPr="00000000" w14:paraId="0000010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Zona de captura de datos del origen. Los datos están prácticamente con la estructura de origen y se sincronizan a través de flujos ETL o esquemas CDC.</w:t>
            </w:r>
          </w:p>
        </w:tc>
      </w:tr>
      <w:tr>
        <w:trPr>
          <w:cantSplit w:val="1"/>
          <w:tblHeader w:val="0"/>
        </w:trPr>
        <w:tc>
          <w:tcPr/>
          <w:p w:rsidR="00000000" w:rsidDel="00000000" w:rsidP="00000000" w:rsidRDefault="00000000" w:rsidRPr="00000000" w14:paraId="0000010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Bases de datos de alta performance - Procesamiento y Análisis de Datos</w:t>
            </w:r>
          </w:p>
        </w:tc>
        <w:tc>
          <w:tcPr/>
          <w:p w:rsidR="00000000" w:rsidDel="00000000" w:rsidP="00000000" w:rsidRDefault="00000000" w:rsidRPr="00000000" w14:paraId="0000010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Estas bases de datos trabajan con los datos consolidados y ejecutan procesos a gran escala, por ejemplo, conciliaciones.</w:t>
            </w:r>
          </w:p>
        </w:tc>
      </w:tr>
      <w:tr>
        <w:trPr>
          <w:cantSplit w:val="1"/>
          <w:tblHeader w:val="0"/>
        </w:trPr>
        <w:tc>
          <w:tcPr/>
          <w:p w:rsidR="00000000" w:rsidDel="00000000" w:rsidP="00000000" w:rsidRDefault="00000000" w:rsidRPr="00000000" w14:paraId="0000010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Zona de confianza -Procesamiento y Análisis de Datos</w:t>
            </w:r>
          </w:p>
        </w:tc>
        <w:tc>
          <w:tcPr/>
          <w:p w:rsidR="00000000" w:rsidDel="00000000" w:rsidP="00000000" w:rsidRDefault="00000000" w:rsidRPr="00000000" w14:paraId="0000010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 través de tópicos que escuchan las “fuentes” y la “landing zone” se comienza a generar la zona de confianza con datos que ya tienen un limpieza "técnica" realizada en el data hub. Eventualmente, se realiza una limpieza pero con perspectiva del negocio. El objetivo de la zona de confianza, además de brindar fuentes de datos saneados, es brindar una estructura más simple que la de un MDM para análisis de datos.</w:t>
            </w:r>
          </w:p>
        </w:tc>
      </w:tr>
      <w:tr>
        <w:trPr>
          <w:cantSplit w:val="1"/>
          <w:tblHeader w:val="0"/>
        </w:trPr>
        <w:tc>
          <w:tcPr/>
          <w:p w:rsidR="00000000" w:rsidDel="00000000" w:rsidP="00000000" w:rsidRDefault="00000000" w:rsidRPr="00000000" w14:paraId="0000010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MDM - Procesamiento y Análisis de Datos</w:t>
            </w:r>
          </w:p>
        </w:tc>
        <w:tc>
          <w:tcPr/>
          <w:p w:rsidR="00000000" w:rsidDel="00000000" w:rsidP="00000000" w:rsidRDefault="00000000" w:rsidRPr="00000000" w14:paraId="0000010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MDM (Master Data Management) la información se estructura para habilitar vistas 360 de productos, clientes, y lo que necesite el negocio</w:t>
            </w:r>
          </w:p>
        </w:tc>
      </w:tr>
      <w:tr>
        <w:trPr>
          <w:cantSplit w:val="1"/>
          <w:tblHeader w:val="0"/>
        </w:trPr>
        <w:tc>
          <w:tcPr/>
          <w:p w:rsidR="00000000" w:rsidDel="00000000" w:rsidP="00000000" w:rsidRDefault="00000000" w:rsidRPr="00000000" w14:paraId="0000010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Laboratorios - Procesamiento y Análisis de Datos</w:t>
            </w:r>
          </w:p>
        </w:tc>
        <w:tc>
          <w:tcPr/>
          <w:p w:rsidR="00000000" w:rsidDel="00000000" w:rsidP="00000000" w:rsidRDefault="00000000" w:rsidRPr="00000000" w14:paraId="0000010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laboratorios permiten realizar el análisis de los datos ya saneados a partir de la zona de confianza.</w:t>
            </w:r>
          </w:p>
        </w:tc>
      </w:tr>
      <w:tr>
        <w:trPr>
          <w:cantSplit w:val="1"/>
          <w:tblHeader w:val="0"/>
        </w:trPr>
        <w:tc>
          <w:tcPr/>
          <w:p w:rsidR="00000000" w:rsidDel="00000000" w:rsidP="00000000" w:rsidRDefault="00000000" w:rsidRPr="00000000" w14:paraId="0000010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DW Lógico - Procesamiento y Análisis de Datos</w:t>
            </w:r>
          </w:p>
        </w:tc>
        <w:tc>
          <w:tcPr/>
          <w:p w:rsidR="00000000" w:rsidDel="00000000" w:rsidP="00000000" w:rsidRDefault="00000000" w:rsidRPr="00000000" w14:paraId="0000010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 establecer datamarts específicos a casos de uso de negocio que simplifiquen el consumo. La estructura que se establece está monitoreando el caso, simplificando su consumo y acortando los tiempos para brindar al negocio la información.</w:t>
            </w:r>
          </w:p>
        </w:tc>
      </w:tr>
      <w:tr>
        <w:trPr>
          <w:cantSplit w:val="1"/>
          <w:tblHeader w:val="0"/>
        </w:trPr>
        <w:tc>
          <w:tcPr/>
          <w:p w:rsidR="00000000" w:rsidDel="00000000" w:rsidP="00000000" w:rsidRDefault="00000000" w:rsidRPr="00000000" w14:paraId="0000010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Herramientas de consumo - Procesamiento y Análisis de Datos</w:t>
            </w:r>
          </w:p>
        </w:tc>
        <w:tc>
          <w:tcPr/>
          <w:p w:rsidR="00000000" w:rsidDel="00000000" w:rsidP="00000000" w:rsidRDefault="00000000" w:rsidRPr="00000000" w14:paraId="0000010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la herramientas de consulta e inteligencia de negocio</w:t>
            </w:r>
          </w:p>
        </w:tc>
      </w:tr>
      <w:tr>
        <w:trPr>
          <w:cantSplit w:val="1"/>
          <w:tblHeader w:val="0"/>
        </w:trPr>
        <w:tc>
          <w:tcPr/>
          <w:p w:rsidR="00000000" w:rsidDel="00000000" w:rsidP="00000000" w:rsidRDefault="00000000" w:rsidRPr="00000000" w14:paraId="0000010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Hub de datos - Datos</w:t>
            </w:r>
          </w:p>
        </w:tc>
        <w:tc>
          <w:tcPr/>
          <w:p w:rsidR="00000000" w:rsidDel="00000000" w:rsidP="00000000" w:rsidRDefault="00000000" w:rsidRPr="00000000" w14:paraId="0000011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hub de datos sirve como punto de intermediación e intercambio de datos. Buscan ofrecer información de calidad a los diferentes procesos y escenarios de negocio de manera centralizada.</w:t>
            </w:r>
          </w:p>
        </w:tc>
      </w:tr>
      <w:tr>
        <w:trPr>
          <w:cantSplit w:val="1"/>
          <w:tblHeader w:val="0"/>
        </w:trPr>
        <w:tc>
          <w:tcPr/>
          <w:p w:rsidR="00000000" w:rsidDel="00000000" w:rsidP="00000000" w:rsidRDefault="00000000" w:rsidRPr="00000000" w14:paraId="0000011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Brokering - Hub de datos</w:t>
            </w:r>
          </w:p>
        </w:tc>
        <w:tc>
          <w:tcPr/>
          <w:p w:rsidR="00000000" w:rsidDel="00000000" w:rsidP="00000000" w:rsidRDefault="00000000" w:rsidRPr="00000000" w14:paraId="0000011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Capacidad de intermediación entre los sistemas de registros y la "Landing Zone" a través de conectores para ejecución de flujos ETL y/o esquemas CDC.</w:t>
            </w:r>
          </w:p>
        </w:tc>
      </w:tr>
      <w:tr>
        <w:trPr>
          <w:cantSplit w:val="1"/>
          <w:tblHeader w:val="0"/>
        </w:trPr>
        <w:tc>
          <w:tcPr/>
          <w:p w:rsidR="00000000" w:rsidDel="00000000" w:rsidP="00000000" w:rsidRDefault="00000000" w:rsidRPr="00000000" w14:paraId="0000011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Almacenamiento periódico (in memory DataStore) - Hub de datos</w:t>
            </w:r>
          </w:p>
        </w:tc>
        <w:tc>
          <w:tcPr/>
          <w:p w:rsidR="00000000" w:rsidDel="00000000" w:rsidP="00000000" w:rsidRDefault="00000000" w:rsidRPr="00000000" w14:paraId="0000011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Repositorio de información de alta calidad para ofrecer servicios de datos a los procesos y coreografías de negocio, API, servicios y demás aplicaciones de BanCoppel.</w:t>
            </w:r>
          </w:p>
        </w:tc>
      </w:tr>
      <w:tr>
        <w:trPr>
          <w:cantSplit w:val="1"/>
          <w:tblHeader w:val="0"/>
        </w:trPr>
        <w:tc>
          <w:tcPr/>
          <w:p w:rsidR="00000000" w:rsidDel="00000000" w:rsidP="00000000" w:rsidRDefault="00000000" w:rsidRPr="00000000" w14:paraId="0000011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Conectores - Hub de datos</w:t>
            </w:r>
          </w:p>
        </w:tc>
        <w:tc>
          <w:tcPr/>
          <w:p w:rsidR="00000000" w:rsidDel="00000000" w:rsidP="00000000" w:rsidRDefault="00000000" w:rsidRPr="00000000" w14:paraId="0000011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Conectores para el intercambio de información con los repositorios de información. En general a través de esquemas CDC o ETL.</w:t>
            </w:r>
          </w:p>
        </w:tc>
      </w:tr>
      <w:tr>
        <w:trPr>
          <w:cantSplit w:val="1"/>
          <w:tblHeader w:val="0"/>
        </w:trPr>
        <w:tc>
          <w:tcPr/>
          <w:p w:rsidR="00000000" w:rsidDel="00000000" w:rsidP="00000000" w:rsidRDefault="00000000" w:rsidRPr="00000000" w14:paraId="0000011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Calidad de datos - Hub de datos</w:t>
            </w:r>
          </w:p>
        </w:tc>
        <w:tc>
          <w:tcPr/>
          <w:p w:rsidR="00000000" w:rsidDel="00000000" w:rsidP="00000000" w:rsidRDefault="00000000" w:rsidRPr="00000000" w14:paraId="0000011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Limpieza técnica de datos a través de mecanismos automáticos.</w:t>
            </w:r>
          </w:p>
        </w:tc>
      </w:tr>
      <w:tr>
        <w:trPr>
          <w:cantSplit w:val="1"/>
          <w:tblHeader w:val="0"/>
        </w:trPr>
        <w:tc>
          <w:tcPr/>
          <w:p w:rsidR="00000000" w:rsidDel="00000000" w:rsidP="00000000" w:rsidRDefault="00000000" w:rsidRPr="00000000" w14:paraId="0000011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Observabilidad - Hub de datos</w:t>
            </w:r>
          </w:p>
        </w:tc>
        <w:tc>
          <w:tcPr/>
          <w:p w:rsidR="00000000" w:rsidDel="00000000" w:rsidP="00000000" w:rsidRDefault="00000000" w:rsidRPr="00000000" w14:paraId="0000011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 fines de auditoría, conocer el linaje del dato, su estado, etc.</w:t>
            </w:r>
          </w:p>
        </w:tc>
      </w:tr>
      <w:tr>
        <w:trPr>
          <w:cantSplit w:val="1"/>
          <w:tblHeader w:val="0"/>
        </w:trPr>
        <w:tc>
          <w:tcPr/>
          <w:p w:rsidR="00000000" w:rsidDel="00000000" w:rsidP="00000000" w:rsidRDefault="00000000" w:rsidRPr="00000000" w14:paraId="0000011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w:t>
            </w:r>
          </w:p>
        </w:tc>
        <w:tc>
          <w:tcPr/>
          <w:p w:rsidR="00000000" w:rsidDel="00000000" w:rsidP="00000000" w:rsidRDefault="00000000" w:rsidRPr="00000000" w14:paraId="0000011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aborda los aspectos de gobierno en tiempo de diseño de los elementos de la arquitectura definida y en dar soporte al ciclo de desarrollo.</w:t>
            </w:r>
          </w:p>
        </w:tc>
      </w:tr>
      <w:tr>
        <w:trPr>
          <w:cantSplit w:val="1"/>
          <w:tblHeader w:val="0"/>
        </w:trPr>
        <w:tc>
          <w:tcPr/>
          <w:p w:rsidR="00000000" w:rsidDel="00000000" w:rsidP="00000000" w:rsidRDefault="00000000" w:rsidRPr="00000000" w14:paraId="0000011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Catalogo – Gobierno </w:t>
            </w:r>
          </w:p>
        </w:tc>
        <w:tc>
          <w:tcPr/>
          <w:p w:rsidR="00000000" w:rsidDel="00000000" w:rsidP="00000000" w:rsidRDefault="00000000" w:rsidRPr="00000000" w14:paraId="0000011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aborda uno de los elementos más importantes de una arquitectura desacoplada: el catálogo de componentes. Un catálogo consolidado y completo habilita capacidades de reúso y mantienen saludable las actividades de diseño colaborativo.</w:t>
            </w:r>
          </w:p>
        </w:tc>
      </w:tr>
      <w:tr>
        <w:trPr>
          <w:cantSplit w:val="1"/>
          <w:tblHeader w:val="0"/>
        </w:trPr>
        <w:tc>
          <w:tcPr/>
          <w:p w:rsidR="00000000" w:rsidDel="00000000" w:rsidP="00000000" w:rsidRDefault="00000000" w:rsidRPr="00000000" w14:paraId="0000011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Marco de gobierno - Gobierno </w:t>
            </w:r>
          </w:p>
        </w:tc>
        <w:tc>
          <w:tcPr/>
          <w:p w:rsidR="00000000" w:rsidDel="00000000" w:rsidP="00000000" w:rsidRDefault="00000000" w:rsidRPr="00000000" w14:paraId="0000012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aborda la definición del modelo operativo para la arquitectura desacoplada. Este modelo operativo se define por su estructura, roles, política, procesos y lineamientos considerando los escenarios relevantes para BanCoppel. </w:t>
            </w:r>
          </w:p>
        </w:tc>
      </w:tr>
      <w:tr>
        <w:trPr>
          <w:cantSplit w:val="1"/>
          <w:tblHeader w:val="0"/>
        </w:trPr>
        <w:tc>
          <w:tcPr/>
          <w:p w:rsidR="00000000" w:rsidDel="00000000" w:rsidP="00000000" w:rsidRDefault="00000000" w:rsidRPr="00000000" w14:paraId="0000012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DevSecOps - Gobierno</w:t>
            </w:r>
          </w:p>
        </w:tc>
        <w:tc>
          <w:tcPr/>
          <w:p w:rsidR="00000000" w:rsidDel="00000000" w:rsidP="00000000" w:rsidRDefault="00000000" w:rsidRPr="00000000" w14:paraId="0000012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herramientas de soporte al ciclo de desarrollo de la arquitectura desacoplada. Algunos ejemplos son:</w:t>
            </w:r>
          </w:p>
          <w:p w:rsidR="00000000" w:rsidDel="00000000" w:rsidP="00000000" w:rsidRDefault="00000000" w:rsidRPr="00000000" w14:paraId="0000012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Gestor de código fuente</w:t>
            </w:r>
          </w:p>
          <w:p w:rsidR="00000000" w:rsidDel="00000000" w:rsidP="00000000" w:rsidRDefault="00000000" w:rsidRPr="00000000" w14:paraId="0000012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Gestor de librerías</w:t>
            </w:r>
          </w:p>
          <w:p w:rsidR="00000000" w:rsidDel="00000000" w:rsidP="00000000" w:rsidRDefault="00000000" w:rsidRPr="00000000" w14:paraId="0000012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Gestor de automatización de pruebas estáticas, funcionales y de seguridad, entre otras.</w:t>
            </w:r>
          </w:p>
          <w:p w:rsidR="00000000" w:rsidDel="00000000" w:rsidP="00000000" w:rsidRDefault="00000000" w:rsidRPr="00000000" w14:paraId="0000012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Gestor de orquestación de flujos de entrega</w:t>
            </w:r>
          </w:p>
        </w:tc>
      </w:tr>
      <w:tr>
        <w:trPr>
          <w:cantSplit w:val="1"/>
          <w:tblHeader w:val="0"/>
        </w:trPr>
        <w:tc>
          <w:tcPr/>
          <w:p w:rsidR="00000000" w:rsidDel="00000000" w:rsidP="00000000" w:rsidRDefault="00000000" w:rsidRPr="00000000" w14:paraId="0000012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Administración</w:t>
            </w:r>
          </w:p>
        </w:tc>
        <w:tc>
          <w:tcPr/>
          <w:p w:rsidR="00000000" w:rsidDel="00000000" w:rsidP="00000000" w:rsidRDefault="00000000" w:rsidRPr="00000000" w14:paraId="0000012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aborda los aspectos de gobierno en tiempo de ejecución de los elementos de una arquitectura desacoplada</w:t>
            </w:r>
          </w:p>
        </w:tc>
      </w:tr>
      <w:tr>
        <w:trPr>
          <w:cantSplit w:val="1"/>
          <w:tblHeader w:val="0"/>
        </w:trPr>
        <w:tc>
          <w:tcPr/>
          <w:p w:rsidR="00000000" w:rsidDel="00000000" w:rsidP="00000000" w:rsidRDefault="00000000" w:rsidRPr="00000000" w14:paraId="0000012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Seguridad - Administración</w:t>
            </w:r>
          </w:p>
        </w:tc>
        <w:tc>
          <w:tcPr/>
          <w:p w:rsidR="00000000" w:rsidDel="00000000" w:rsidP="00000000" w:rsidRDefault="00000000" w:rsidRPr="00000000" w14:paraId="0000012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aborda la implementación de las políticas de seguridad para la arquitectura desacoplada y el monitoreo y atención de incidencias de seguridad.</w:t>
            </w:r>
          </w:p>
        </w:tc>
      </w:tr>
      <w:tr>
        <w:trPr>
          <w:cantSplit w:val="1"/>
          <w:tblHeader w:val="0"/>
        </w:trPr>
        <w:tc>
          <w:tcPr/>
          <w:p w:rsidR="00000000" w:rsidDel="00000000" w:rsidP="00000000" w:rsidRDefault="00000000" w:rsidRPr="00000000" w14:paraId="0000012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directorio activo - Seguridad</w:t>
            </w:r>
          </w:p>
        </w:tc>
        <w:tc>
          <w:tcPr/>
          <w:p w:rsidR="00000000" w:rsidDel="00000000" w:rsidP="00000000" w:rsidRDefault="00000000" w:rsidRPr="00000000" w14:paraId="0000012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el o los repositorios de usuarios de BanCoppel con fines de autenticación y autorización.</w:t>
            </w:r>
          </w:p>
        </w:tc>
      </w:tr>
      <w:tr>
        <w:trPr>
          <w:cantSplit w:val="1"/>
          <w:tblHeader w:val="0"/>
        </w:trPr>
        <w:tc>
          <w:tcPr/>
          <w:p w:rsidR="00000000" w:rsidDel="00000000" w:rsidP="00000000" w:rsidRDefault="00000000" w:rsidRPr="00000000" w14:paraId="0000012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SSO - Seguridad</w:t>
            </w:r>
          </w:p>
        </w:tc>
        <w:tc>
          <w:tcPr/>
          <w:p w:rsidR="00000000" w:rsidDel="00000000" w:rsidP="00000000" w:rsidRDefault="00000000" w:rsidRPr="00000000" w14:paraId="0000012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la función de gestión de tokens en esquemas SSO que puede aplicarse a los procesos, coreografías de negocio, API, servicios y demás aplicaciones de BanCoppel.</w:t>
            </w:r>
          </w:p>
        </w:tc>
      </w:tr>
      <w:tr>
        <w:trPr>
          <w:cantSplit w:val="1"/>
          <w:tblHeader w:val="0"/>
        </w:trPr>
        <w:tc>
          <w:tcPr/>
          <w:p w:rsidR="00000000" w:rsidDel="00000000" w:rsidP="00000000" w:rsidRDefault="00000000" w:rsidRPr="00000000" w14:paraId="0000012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identidades - Seguridad</w:t>
            </w:r>
          </w:p>
        </w:tc>
        <w:tc>
          <w:tcPr/>
          <w:p w:rsidR="00000000" w:rsidDel="00000000" w:rsidP="00000000" w:rsidRDefault="00000000" w:rsidRPr="00000000" w14:paraId="0000013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la organización de los perfiles organizacionales, privilegios sobre los activos de TI de la organización y la automatización de los flujos de aprovisionamiento y desaprovisionamiento de usuarios.</w:t>
            </w:r>
          </w:p>
        </w:tc>
      </w:tr>
      <w:tr>
        <w:trPr>
          <w:cantSplit w:val="1"/>
          <w:tblHeader w:val="0"/>
        </w:trPr>
        <w:tc>
          <w:tcPr/>
          <w:p w:rsidR="00000000" w:rsidDel="00000000" w:rsidP="00000000" w:rsidRDefault="00000000" w:rsidRPr="00000000" w14:paraId="0000013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Monitoreo - Administración</w:t>
            </w:r>
          </w:p>
        </w:tc>
        <w:tc>
          <w:tcPr/>
          <w:p w:rsidR="00000000" w:rsidDel="00000000" w:rsidP="00000000" w:rsidRDefault="00000000" w:rsidRPr="00000000" w14:paraId="0000013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aborda la habilitación de mecanismos de monitoreo de la arquitectura desacoplada y trazabilidad de las transacciones.</w:t>
            </w:r>
          </w:p>
        </w:tc>
      </w:tr>
      <w:tr>
        <w:trPr>
          <w:cantSplit w:val="1"/>
          <w:tblHeader w:val="0"/>
        </w:trPr>
        <w:tc>
          <w:tcPr/>
          <w:p w:rsidR="00000000" w:rsidDel="00000000" w:rsidP="00000000" w:rsidRDefault="00000000" w:rsidRPr="00000000" w14:paraId="0000013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auditoría - Monitoreo</w:t>
            </w:r>
          </w:p>
        </w:tc>
        <w:tc>
          <w:tcPr/>
          <w:p w:rsidR="00000000" w:rsidDel="00000000" w:rsidP="00000000" w:rsidRDefault="00000000" w:rsidRPr="00000000" w14:paraId="0000013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los logs centralizados de los componentes de la arquitectura desacoplada para apoyar el análisis de incidencias.</w:t>
            </w:r>
          </w:p>
        </w:tc>
      </w:tr>
      <w:tr>
        <w:trPr>
          <w:cantSplit w:val="1"/>
          <w:tblHeader w:val="0"/>
        </w:trPr>
        <w:tc>
          <w:tcPr/>
          <w:p w:rsidR="00000000" w:rsidDel="00000000" w:rsidP="00000000" w:rsidRDefault="00000000" w:rsidRPr="00000000" w14:paraId="0000013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SLA - Monitoreo</w:t>
            </w:r>
          </w:p>
        </w:tc>
        <w:tc>
          <w:tcPr/>
          <w:p w:rsidR="00000000" w:rsidDel="00000000" w:rsidP="00000000" w:rsidRDefault="00000000" w:rsidRPr="00000000" w14:paraId="0000013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la configuración de SLA sobre los elementos de la arquitectura desacoplada para evaluar su desempeño y prestación.</w:t>
            </w:r>
          </w:p>
        </w:tc>
      </w:tr>
      <w:tr>
        <w:trPr>
          <w:cantSplit w:val="1"/>
          <w:tblHeader w:val="0"/>
        </w:trPr>
        <w:tc>
          <w:tcPr/>
          <w:p w:rsidR="00000000" w:rsidDel="00000000" w:rsidP="00000000" w:rsidRDefault="00000000" w:rsidRPr="00000000" w14:paraId="0000013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operativa - Administración</w:t>
            </w:r>
          </w:p>
        </w:tc>
        <w:tc>
          <w:tcPr/>
          <w:p w:rsidR="00000000" w:rsidDel="00000000" w:rsidP="00000000" w:rsidRDefault="00000000" w:rsidRPr="00000000" w14:paraId="0000013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aborda aspectos de gestión de la administración y configuración de los componentes de la arquitectura </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desacoplada, monitoreo de su función y niveles de servicio para garantizar su continuidad operativa.</w:t>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numPr>
          <w:ilvl w:val="0"/>
          <w:numId w:val="2"/>
        </w:numPr>
        <w:ind w:left="720" w:hanging="360"/>
        <w:rPr/>
      </w:pPr>
      <w:bookmarkStart w:colFirst="0" w:colLast="0" w:name="_heading=h.1ksv4uv" w:id="6"/>
      <w:bookmarkEnd w:id="6"/>
      <w:r w:rsidDel="00000000" w:rsidR="00000000" w:rsidRPr="00000000">
        <w:rPr>
          <w:rtl w:val="0"/>
        </w:rPr>
        <w:t xml:space="preserve">Catálogo de relaciones</w:t>
      </w:r>
    </w:p>
    <w:p w:rsidR="00000000" w:rsidDel="00000000" w:rsidP="00000000" w:rsidRDefault="00000000" w:rsidRPr="00000000" w14:paraId="0000013B">
      <w:pPr>
        <w:rPr/>
      </w:pPr>
      <w:r w:rsidDel="00000000" w:rsidR="00000000" w:rsidRPr="00000000">
        <w:rPr>
          <w:rtl w:val="0"/>
        </w:rPr>
      </w:r>
    </w:p>
    <w:tbl>
      <w:tblPr>
        <w:tblStyle w:val="Table5"/>
        <w:tblW w:w="8828.0" w:type="dxa"/>
        <w:jc w:val="left"/>
        <w:tblBorders>
          <w:top w:color="5f5f5f" w:space="0" w:sz="4" w:val="single"/>
          <w:left w:color="5f5f5f" w:space="0" w:sz="4" w:val="single"/>
          <w:bottom w:color="5f5f5f" w:space="0" w:sz="4" w:val="single"/>
          <w:right w:color="5f5f5f" w:space="0" w:sz="4" w:val="single"/>
          <w:insideH w:color="009999" w:space="0" w:sz="4" w:val="dotted"/>
          <w:insideV w:color="009999" w:space="0" w:sz="4" w:val="dotted"/>
        </w:tblBorders>
        <w:tblLayout w:type="fixed"/>
        <w:tblLook w:val="0020"/>
      </w:tblPr>
      <w:tblGrid>
        <w:gridCol w:w="1439"/>
        <w:gridCol w:w="1555"/>
        <w:gridCol w:w="1675"/>
        <w:gridCol w:w="4159"/>
        <w:tblGridChange w:id="0">
          <w:tblGrid>
            <w:gridCol w:w="1439"/>
            <w:gridCol w:w="1555"/>
            <w:gridCol w:w="1675"/>
            <w:gridCol w:w="4159"/>
          </w:tblGrid>
        </w:tblGridChange>
      </w:tblGrid>
      <w:tr>
        <w:trPr>
          <w:cantSplit w:val="1"/>
          <w:tblHeader w:val="0"/>
        </w:trPr>
        <w:tc>
          <w:tcPr>
            <w:shd w:fill="0070c0" w:val="clear"/>
          </w:tcPr>
          <w:p w:rsidR="00000000" w:rsidDel="00000000" w:rsidP="00000000" w:rsidRDefault="00000000" w:rsidRPr="00000000" w14:paraId="0000013C">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Origen</w:t>
            </w:r>
          </w:p>
        </w:tc>
        <w:tc>
          <w:tcPr>
            <w:shd w:fill="0070c0" w:val="clear"/>
          </w:tcPr>
          <w:p w:rsidR="00000000" w:rsidDel="00000000" w:rsidP="00000000" w:rsidRDefault="00000000" w:rsidRPr="00000000" w14:paraId="0000013D">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Destino</w:t>
            </w:r>
          </w:p>
        </w:tc>
        <w:tc>
          <w:tcPr>
            <w:shd w:fill="0070c0" w:val="clear"/>
          </w:tcPr>
          <w:p w:rsidR="00000000" w:rsidDel="00000000" w:rsidP="00000000" w:rsidRDefault="00000000" w:rsidRPr="00000000" w14:paraId="0000013E">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Relación de uso</w:t>
            </w:r>
          </w:p>
        </w:tc>
        <w:tc>
          <w:tcPr>
            <w:shd w:fill="0070c0" w:val="clear"/>
          </w:tcPr>
          <w:p w:rsidR="00000000" w:rsidDel="00000000" w:rsidP="00000000" w:rsidRDefault="00000000" w:rsidRPr="00000000" w14:paraId="0000013F">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Descripción</w:t>
            </w:r>
          </w:p>
        </w:tc>
      </w:tr>
      <w:tr>
        <w:trPr>
          <w:cantSplit w:val="1"/>
          <w:tblHeader w:val="0"/>
        </w:trPr>
        <w:tc>
          <w:tcPr/>
          <w:p w:rsidR="00000000" w:rsidDel="00000000" w:rsidP="00000000" w:rsidRDefault="00000000" w:rsidRPr="00000000" w14:paraId="0000014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Canales</w:t>
            </w:r>
          </w:p>
        </w:tc>
        <w:tc>
          <w:tcPr/>
          <w:p w:rsidR="00000000" w:rsidDel="00000000" w:rsidP="00000000" w:rsidRDefault="00000000" w:rsidRPr="00000000" w14:paraId="0000014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Consumidores</w:t>
            </w:r>
          </w:p>
        </w:tc>
        <w:tc>
          <w:tcPr/>
          <w:p w:rsidR="00000000" w:rsidDel="00000000" w:rsidP="00000000" w:rsidRDefault="00000000" w:rsidRPr="00000000" w14:paraId="0000014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4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diferentes canales es permitido el acceso a la capa de consumidores y a cualquiera de sus segmentos: Aplicaciones propias, Aplicaciones de terceros, Microservicios, Robots y Coreografías de Negocio.</w:t>
            </w:r>
          </w:p>
        </w:tc>
      </w:tr>
      <w:tr>
        <w:trPr>
          <w:cantSplit w:val="1"/>
          <w:tblHeader w:val="0"/>
        </w:trPr>
        <w:tc>
          <w:tcPr/>
          <w:p w:rsidR="00000000" w:rsidDel="00000000" w:rsidP="00000000" w:rsidRDefault="00000000" w:rsidRPr="00000000" w14:paraId="0000014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Consumidores</w:t>
            </w:r>
          </w:p>
        </w:tc>
        <w:tc>
          <w:tcPr/>
          <w:p w:rsidR="00000000" w:rsidDel="00000000" w:rsidP="00000000" w:rsidRDefault="00000000" w:rsidRPr="00000000" w14:paraId="0000014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w:t>
            </w:r>
          </w:p>
        </w:tc>
        <w:tc>
          <w:tcPr/>
          <w:p w:rsidR="00000000" w:rsidDel="00000000" w:rsidP="00000000" w:rsidRDefault="00000000" w:rsidRPr="00000000" w14:paraId="0000014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4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cualquier aplicación consumidora se puede utilizar un API de negocio  (que ejecuta una función de negocio dada) sin necesidad de invocar un API de recepción. El API de recepción emerge cuando se desee atender las necesidades específicas de un escenario de negocio dado, de los contrario se puede utilizar API de negocio (más transversales). </w:t>
            </w:r>
          </w:p>
          <w:p w:rsidR="00000000" w:rsidDel="00000000" w:rsidP="00000000" w:rsidRDefault="00000000" w:rsidRPr="00000000" w14:paraId="0000014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Existe una restricción en este aspecto respecto de los microservicios. Desde los microservicios se tienen un uso restringido a las API por principios del enfoque de microservicios. Un microservicio es autónomo e independiente, capaz de ejecutar su ciclo de control por sí mismo sin requerir terceras partes. Si un microservicio invoca un API, escapa a su ciclo de control y atenta a su independencia. Este tipo de relaciones pueden autorizarse en casos aislados que debe analizar la junta de arquitectura. De lo contrario, debe utilizarse un esquema de eventos asíncrono si el microservicio debe impactar en terceros elementos.</w:t>
            </w:r>
          </w:p>
        </w:tc>
      </w:tr>
      <w:tr>
        <w:trPr>
          <w:cantSplit w:val="1"/>
          <w:tblHeader w:val="0"/>
        </w:trPr>
        <w:tc>
          <w:tcPr/>
          <w:p w:rsidR="00000000" w:rsidDel="00000000" w:rsidP="00000000" w:rsidRDefault="00000000" w:rsidRPr="00000000" w14:paraId="0000014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API Portal</w:t>
            </w:r>
          </w:p>
        </w:tc>
        <w:tc>
          <w:tcPr/>
          <w:p w:rsidR="00000000" w:rsidDel="00000000" w:rsidP="00000000" w:rsidRDefault="00000000" w:rsidRPr="00000000" w14:paraId="0000014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4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4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el portal de API de BanCoppel se publicarán las API para que terceros que necesiten interactuar con los productos/procesos de BanCoppel, puedan gestionar una suscripción y acceso a las mismas. De esta manera, se estandariza el acceso a los productos digitales de BanCoppel desde el exterior.</w:t>
            </w:r>
          </w:p>
        </w:tc>
      </w:tr>
      <w:tr>
        <w:trPr>
          <w:cantSplit w:val="1"/>
          <w:tblHeader w:val="0"/>
        </w:trPr>
        <w:tc>
          <w:tcPr/>
          <w:p w:rsidR="00000000" w:rsidDel="00000000" w:rsidP="00000000" w:rsidRDefault="00000000" w:rsidRPr="00000000" w14:paraId="0000014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Coreografías de negocio</w:t>
            </w:r>
          </w:p>
        </w:tc>
        <w:tc>
          <w:tcPr/>
          <w:p w:rsidR="00000000" w:rsidDel="00000000" w:rsidP="00000000" w:rsidRDefault="00000000" w:rsidRPr="00000000" w14:paraId="0000014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4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5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coreografías de negocio está permitido el acceso a la capa de “proveedores” de datos a través de API de recepción. De esta manera, se busca homologar las integraciones entre las diferentes aplicaciones de BanCoppel utilizando API que se ajusta específicamente a un escenario dado.</w:t>
            </w:r>
          </w:p>
        </w:tc>
      </w:tr>
      <w:tr>
        <w:trPr>
          <w:cantSplit w:val="1"/>
          <w:trHeight w:val="590" w:hRule="atLeast"/>
          <w:tblHeader w:val="0"/>
        </w:trPr>
        <w:tc>
          <w:tcPr/>
          <w:p w:rsidR="00000000" w:rsidDel="00000000" w:rsidP="00000000" w:rsidRDefault="00000000" w:rsidRPr="00000000" w14:paraId="0000015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5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Coreografías de negocio</w:t>
            </w:r>
          </w:p>
        </w:tc>
        <w:tc>
          <w:tcPr/>
          <w:p w:rsidR="00000000" w:rsidDel="00000000" w:rsidP="00000000" w:rsidRDefault="00000000" w:rsidRPr="00000000" w14:paraId="0000015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5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coreografías de negocio está permitido suscribirse a Tópicos para recibir eventos en un esquema gestionado. De esta manera, se busca aumentar las capacidades de escalabilidad y propagación de información clave en tiempo real (o near real time). Escenarios de sincronización de aplicaciones o analítica de negocio pueden verse beneficiados con este tipo de relaciones.</w:t>
            </w:r>
          </w:p>
        </w:tc>
      </w:tr>
      <w:tr>
        <w:trPr>
          <w:cantSplit w:val="1"/>
          <w:tblHeader w:val="0"/>
        </w:trPr>
        <w:tc>
          <w:tcPr/>
          <w:p w:rsidR="00000000" w:rsidDel="00000000" w:rsidP="00000000" w:rsidRDefault="00000000" w:rsidRPr="00000000" w14:paraId="0000015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propias</w:t>
            </w:r>
          </w:p>
        </w:tc>
        <w:tc>
          <w:tcPr/>
          <w:p w:rsidR="00000000" w:rsidDel="00000000" w:rsidP="00000000" w:rsidRDefault="00000000" w:rsidRPr="00000000" w14:paraId="0000015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5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5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propias está permitido el acceso a la capa de “proveedores” de datos a través de API de recepción. De esta manera, se busca homologar las integraciones entre las diferentes aplicaciones de BanCoppel utilizando API que se ajusta específicamente a un escenario dado.</w:t>
            </w:r>
          </w:p>
        </w:tc>
      </w:tr>
      <w:tr>
        <w:trPr>
          <w:cantSplit w:val="1"/>
          <w:tblHeader w:val="0"/>
        </w:trPr>
        <w:tc>
          <w:tcPr/>
          <w:p w:rsidR="00000000" w:rsidDel="00000000" w:rsidP="00000000" w:rsidRDefault="00000000" w:rsidRPr="00000000" w14:paraId="0000015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propias</w:t>
            </w:r>
          </w:p>
        </w:tc>
        <w:tc>
          <w:tcPr/>
          <w:p w:rsidR="00000000" w:rsidDel="00000000" w:rsidP="00000000" w:rsidRDefault="00000000" w:rsidRPr="00000000" w14:paraId="0000015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5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Restringido</w:t>
            </w:r>
          </w:p>
        </w:tc>
        <w:tc>
          <w:tcPr/>
          <w:p w:rsidR="00000000" w:rsidDel="00000000" w:rsidP="00000000" w:rsidRDefault="00000000" w:rsidRPr="00000000" w14:paraId="0000015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propias está restringida la integración a través de gestión de archivos, esto alineado con la nueva visión de la arquitectura de integración de fomentar las integraciones en línea y tiempo real. Pueden permitirse excepciones autorizadas por la junta de arquitectura y debidamente justificadas. Las integraciones “legadas” actuales se mantendrán, pero se modernizarán de acuerdo con la necesidad y oportunidad.  </w:t>
            </w:r>
          </w:p>
        </w:tc>
      </w:tr>
      <w:tr>
        <w:trPr>
          <w:cantSplit w:val="1"/>
          <w:trHeight w:val="590" w:hRule="atLeast"/>
          <w:tblHeader w:val="0"/>
        </w:trPr>
        <w:tc>
          <w:tcPr/>
          <w:p w:rsidR="00000000" w:rsidDel="00000000" w:rsidP="00000000" w:rsidRDefault="00000000" w:rsidRPr="00000000" w14:paraId="0000015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5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propias</w:t>
            </w:r>
          </w:p>
        </w:tc>
        <w:tc>
          <w:tcPr/>
          <w:p w:rsidR="00000000" w:rsidDel="00000000" w:rsidP="00000000" w:rsidRDefault="00000000" w:rsidRPr="00000000" w14:paraId="0000015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6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propias está permitido suscribirse a Tópicos para recibir eventos en un esquema gestionado. De esta manera, se busca aumentar las capacidades de escalabilidad y propagación de información clave en tiempo real (o near real time). Escenarios de sincronización de aplicaciones o analítica de negocio pueden verse beneficiados con este tipo de relaciones.</w:t>
            </w:r>
          </w:p>
        </w:tc>
      </w:tr>
      <w:tr>
        <w:trPr>
          <w:cantSplit w:val="1"/>
          <w:tblHeader w:val="0"/>
        </w:trPr>
        <w:tc>
          <w:tcPr/>
          <w:p w:rsidR="00000000" w:rsidDel="00000000" w:rsidP="00000000" w:rsidRDefault="00000000" w:rsidRPr="00000000" w14:paraId="0000016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de terceros</w:t>
            </w:r>
          </w:p>
        </w:tc>
        <w:tc>
          <w:tcPr/>
          <w:p w:rsidR="00000000" w:rsidDel="00000000" w:rsidP="00000000" w:rsidRDefault="00000000" w:rsidRPr="00000000" w14:paraId="0000016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6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6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de terceros está permitido el acceso a la capa de “proveedores” de datos a través de API de recepción. De esta manera, se busca homologar las integraciones entre las diferentes aplicaciones de BanCoppel utilizando API que se ajusta específicamente a un escenario dado.</w:t>
            </w:r>
          </w:p>
        </w:tc>
      </w:tr>
      <w:tr>
        <w:trPr>
          <w:cantSplit w:val="1"/>
          <w:tblHeader w:val="0"/>
        </w:trPr>
        <w:tc>
          <w:tcPr/>
          <w:p w:rsidR="00000000" w:rsidDel="00000000" w:rsidP="00000000" w:rsidRDefault="00000000" w:rsidRPr="00000000" w14:paraId="0000016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de terceros</w:t>
            </w:r>
          </w:p>
        </w:tc>
        <w:tc>
          <w:tcPr/>
          <w:p w:rsidR="00000000" w:rsidDel="00000000" w:rsidP="00000000" w:rsidRDefault="00000000" w:rsidRPr="00000000" w14:paraId="0000016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6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Restringido</w:t>
            </w:r>
          </w:p>
        </w:tc>
        <w:tc>
          <w:tcPr/>
          <w:p w:rsidR="00000000" w:rsidDel="00000000" w:rsidP="00000000" w:rsidRDefault="00000000" w:rsidRPr="00000000" w14:paraId="0000016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de terceros está restringida la integración a través de gestión de archivos, esto alineado con la nueva visión de la arquitectura de integración de fomentar las integraciones en línea y tiempo real. Pueden permitirse excepciones autorizadas por la junta de arquitectura y debidamente justificadas. Las integraciones “legadas” actuales se mantendrán, pero se modernizarán de acuerdo con la necesidad y oportunidad.  </w:t>
            </w:r>
          </w:p>
        </w:tc>
      </w:tr>
      <w:tr>
        <w:trPr>
          <w:cantSplit w:val="1"/>
          <w:trHeight w:val="590" w:hRule="atLeast"/>
          <w:tblHeader w:val="0"/>
        </w:trPr>
        <w:tc>
          <w:tcPr/>
          <w:p w:rsidR="00000000" w:rsidDel="00000000" w:rsidP="00000000" w:rsidRDefault="00000000" w:rsidRPr="00000000" w14:paraId="0000016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6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de terceros</w:t>
            </w:r>
          </w:p>
        </w:tc>
        <w:tc>
          <w:tcPr/>
          <w:p w:rsidR="00000000" w:rsidDel="00000000" w:rsidP="00000000" w:rsidRDefault="00000000" w:rsidRPr="00000000" w14:paraId="0000016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6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de terceros está permitido suscribirse a tópicos para recibir eventos a través de un esquema gestionado. De esta manera, se busca aumentar las capacidades de escalabilidad y propagación de información clave en tiempo real (o near real time). Escenarios de sincronización de aplicaciones o analítica de negocio pueden verse beneficiados con este tipo de relaciones.</w:t>
            </w:r>
          </w:p>
        </w:tc>
      </w:tr>
      <w:tr>
        <w:trPr>
          <w:cantSplit w:val="1"/>
          <w:tblHeader w:val="0"/>
        </w:trPr>
        <w:tc>
          <w:tcPr/>
          <w:p w:rsidR="00000000" w:rsidDel="00000000" w:rsidP="00000000" w:rsidRDefault="00000000" w:rsidRPr="00000000" w14:paraId="0000016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w:t>
            </w:r>
          </w:p>
        </w:tc>
        <w:tc>
          <w:tcPr/>
          <w:p w:rsidR="00000000" w:rsidDel="00000000" w:rsidP="00000000" w:rsidRDefault="00000000" w:rsidRPr="00000000" w14:paraId="0000016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6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Restringido</w:t>
            </w:r>
          </w:p>
        </w:tc>
        <w:tc>
          <w:tcPr/>
          <w:p w:rsidR="00000000" w:rsidDel="00000000" w:rsidP="00000000" w:rsidRDefault="00000000" w:rsidRPr="00000000" w14:paraId="0000017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microservicios se tienen un uso restringido de API, por principios del enfoque de microservicios, un microservicios es autónomo e independiente, capaz de ejecutar su ciclo de control por sí mismo sin requerir terceras partes. Si un microservicio invoca un API, escapa a su ciclo de control y atenta a su independencia. Este tipo de relaciones pueden autorizarse en casos aislados que debe analizar la junta de arquitectura. De lo contrario, debe utilizarse un esquema de eventos asíncrono, si el microservicio debe impactar en terceros elementos.</w:t>
            </w:r>
          </w:p>
        </w:tc>
      </w:tr>
      <w:tr>
        <w:trPr>
          <w:cantSplit w:val="1"/>
          <w:tblHeader w:val="0"/>
        </w:trPr>
        <w:tc>
          <w:tcPr/>
          <w:p w:rsidR="00000000" w:rsidDel="00000000" w:rsidP="00000000" w:rsidRDefault="00000000" w:rsidRPr="00000000" w14:paraId="0000017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w:t>
            </w:r>
          </w:p>
        </w:tc>
        <w:tc>
          <w:tcPr/>
          <w:p w:rsidR="00000000" w:rsidDel="00000000" w:rsidP="00000000" w:rsidRDefault="00000000" w:rsidRPr="00000000" w14:paraId="0000017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Almacenamiento periódico (in memory DataStore)</w:t>
            </w:r>
          </w:p>
        </w:tc>
        <w:tc>
          <w:tcPr/>
          <w:p w:rsidR="00000000" w:rsidDel="00000000" w:rsidP="00000000" w:rsidRDefault="00000000" w:rsidRPr="00000000" w14:paraId="0000017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7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modelos de desacoplamiento avanzado, los microservicios gestionan su propia base de datos . En este escenario de hub de datos, los microservicios pueden gestionar sus bases de datos y el hub de datos se encargará de la sincronización de los datos a otros sistemas de registros o repositorios.</w:t>
            </w:r>
          </w:p>
        </w:tc>
      </w:tr>
      <w:tr>
        <w:trPr>
          <w:cantSplit w:val="1"/>
          <w:trHeight w:val="590" w:hRule="atLeast"/>
          <w:tblHeader w:val="0"/>
        </w:trPr>
        <w:tc>
          <w:tcPr/>
          <w:p w:rsidR="00000000" w:rsidDel="00000000" w:rsidP="00000000" w:rsidRDefault="00000000" w:rsidRPr="00000000" w14:paraId="0000017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7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w:t>
            </w:r>
          </w:p>
        </w:tc>
        <w:tc>
          <w:tcPr/>
          <w:p w:rsidR="00000000" w:rsidDel="00000000" w:rsidP="00000000" w:rsidRDefault="00000000" w:rsidRPr="00000000" w14:paraId="0000017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7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microservicios se permite</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suscribirse a Tópicos para recibir eventos. Esto no genera acoplamiento entre el microservicio y los “publicadores” de ese evento de interés. En caso de requerir integración, ésta es el tipo de integración preferida para un enfoque de microservicios.</w:t>
            </w:r>
          </w:p>
        </w:tc>
      </w:tr>
      <w:tr>
        <w:trPr>
          <w:cantSplit w:val="1"/>
          <w:tblHeader w:val="0"/>
        </w:trPr>
        <w:tc>
          <w:tcPr/>
          <w:p w:rsidR="00000000" w:rsidDel="00000000" w:rsidP="00000000" w:rsidRDefault="00000000" w:rsidRPr="00000000" w14:paraId="0000017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Robots</w:t>
            </w:r>
          </w:p>
        </w:tc>
        <w:tc>
          <w:tcPr/>
          <w:p w:rsidR="00000000" w:rsidDel="00000000" w:rsidP="00000000" w:rsidRDefault="00000000" w:rsidRPr="00000000" w14:paraId="0000017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7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7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robots configurados con un enfoque RPA (Robotic Process Automation) es permitida la invocación de API de recepción para enriquecer actividades del flujo de interés.</w:t>
            </w:r>
          </w:p>
        </w:tc>
      </w:tr>
      <w:tr>
        <w:trPr>
          <w:cantSplit w:val="1"/>
          <w:tblHeader w:val="0"/>
        </w:trPr>
        <w:tc>
          <w:tcPr/>
          <w:p w:rsidR="00000000" w:rsidDel="00000000" w:rsidP="00000000" w:rsidRDefault="00000000" w:rsidRPr="00000000" w14:paraId="0000017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Robots</w:t>
            </w:r>
          </w:p>
        </w:tc>
        <w:tc>
          <w:tcPr/>
          <w:p w:rsidR="00000000" w:rsidDel="00000000" w:rsidP="00000000" w:rsidRDefault="00000000" w:rsidRPr="00000000" w14:paraId="0000017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7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8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robots configurados con un enfoque RPA es permitido gestionar archivos para su procesamiento y sincronización de información entre aplicaciones.</w:t>
            </w:r>
          </w:p>
        </w:tc>
      </w:tr>
      <w:tr>
        <w:trPr>
          <w:cantSplit w:val="1"/>
          <w:tblHeader w:val="0"/>
        </w:trPr>
        <w:tc>
          <w:tcPr/>
          <w:p w:rsidR="00000000" w:rsidDel="00000000" w:rsidP="00000000" w:rsidRDefault="00000000" w:rsidRPr="00000000" w14:paraId="0000018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Servicios externos</w:t>
            </w:r>
          </w:p>
        </w:tc>
        <w:tc>
          <w:tcPr/>
          <w:p w:rsidR="00000000" w:rsidDel="00000000" w:rsidP="00000000" w:rsidRDefault="00000000" w:rsidRPr="00000000" w14:paraId="0000018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8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8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servicios externos está permitido el acceso a la capa de “proveedores” de datos a través de API de recepción. De esta manera, se busca homologar las integraciones entre las diferentes aplicaciones de BanCoppel utilizando API.</w:t>
            </w:r>
          </w:p>
        </w:tc>
      </w:tr>
      <w:tr>
        <w:trPr>
          <w:cantSplit w:val="1"/>
          <w:tblHeader w:val="0"/>
        </w:trPr>
        <w:tc>
          <w:tcPr/>
          <w:p w:rsidR="00000000" w:rsidDel="00000000" w:rsidP="00000000" w:rsidRDefault="00000000" w:rsidRPr="00000000" w14:paraId="0000018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Servicios externos</w:t>
            </w:r>
          </w:p>
        </w:tc>
        <w:tc>
          <w:tcPr/>
          <w:p w:rsidR="00000000" w:rsidDel="00000000" w:rsidP="00000000" w:rsidRDefault="00000000" w:rsidRPr="00000000" w14:paraId="0000018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8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Restringido</w:t>
            </w:r>
          </w:p>
        </w:tc>
        <w:tc>
          <w:tcPr/>
          <w:p w:rsidR="00000000" w:rsidDel="00000000" w:rsidP="00000000" w:rsidRDefault="00000000" w:rsidRPr="00000000" w14:paraId="0000018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servicios externos está restringida la integración a través de gestión de archivos, esto alineado con la nueva visión de la arquitectura de integración de fomentar las integraciones en línea y tiempo real. Pueden permitirse excepciones autorizadas por la junta de arquitectura y debidamente justificadas. Las integraciones “legadas” actuales se mantendrán, pero se modernizarán de acuerdo a la necesidad y oportunidad.  </w:t>
            </w:r>
          </w:p>
        </w:tc>
      </w:tr>
      <w:tr>
        <w:trPr>
          <w:cantSplit w:val="1"/>
          <w:trHeight w:val="590" w:hRule="atLeast"/>
          <w:tblHeader w:val="0"/>
        </w:trPr>
        <w:tc>
          <w:tcPr/>
          <w:p w:rsidR="00000000" w:rsidDel="00000000" w:rsidP="00000000" w:rsidRDefault="00000000" w:rsidRPr="00000000" w14:paraId="0000018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8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Robots</w:t>
            </w:r>
          </w:p>
        </w:tc>
        <w:tc>
          <w:tcPr/>
          <w:p w:rsidR="00000000" w:rsidDel="00000000" w:rsidP="00000000" w:rsidRDefault="00000000" w:rsidRPr="00000000" w14:paraId="0000018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8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robots configurados con un enfoque RPA es permitido suscribirse a tópicos para recibir eventos de interés para iniciar actividades automatizadas.</w:t>
            </w:r>
          </w:p>
        </w:tc>
      </w:tr>
      <w:tr>
        <w:trPr>
          <w:cantSplit w:val="1"/>
          <w:tblHeader w:val="0"/>
        </w:trPr>
        <w:tc>
          <w:tcPr/>
          <w:p w:rsidR="00000000" w:rsidDel="00000000" w:rsidP="00000000" w:rsidRDefault="00000000" w:rsidRPr="00000000" w14:paraId="0000018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8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w:t>
            </w:r>
          </w:p>
        </w:tc>
        <w:tc>
          <w:tcPr/>
          <w:p w:rsidR="00000000" w:rsidDel="00000000" w:rsidP="00000000" w:rsidRDefault="00000000" w:rsidRPr="00000000" w14:paraId="0000018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9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un API de recepción es permitido invocar a una o más API de negocio y abstraerse de la complejidad de su gestión.</w:t>
            </w:r>
          </w:p>
        </w:tc>
      </w:tr>
      <w:tr>
        <w:trPr>
          <w:cantSplit w:val="1"/>
          <w:tblHeader w:val="0"/>
        </w:trPr>
        <w:tc>
          <w:tcPr/>
          <w:p w:rsidR="00000000" w:rsidDel="00000000" w:rsidP="00000000" w:rsidRDefault="00000000" w:rsidRPr="00000000" w14:paraId="0000019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w:t>
            </w:r>
          </w:p>
        </w:tc>
        <w:tc>
          <w:tcPr/>
          <w:p w:rsidR="00000000" w:rsidDel="00000000" w:rsidP="00000000" w:rsidRDefault="00000000" w:rsidRPr="00000000" w14:paraId="0000019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proxy</w:t>
            </w:r>
          </w:p>
        </w:tc>
        <w:tc>
          <w:tcPr/>
          <w:p w:rsidR="00000000" w:rsidDel="00000000" w:rsidP="00000000" w:rsidRDefault="00000000" w:rsidRPr="00000000" w14:paraId="0000019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9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un API de negocio está permitida la invocación de las API proxy para orquestar la interacción con aplicaciones “proveedoras” en un contexto de negocio dado.</w:t>
            </w:r>
          </w:p>
        </w:tc>
      </w:tr>
      <w:tr>
        <w:trPr>
          <w:cantSplit w:val="1"/>
          <w:tblHeader w:val="0"/>
        </w:trPr>
        <w:tc>
          <w:tcPr/>
          <w:p w:rsidR="00000000" w:rsidDel="00000000" w:rsidP="00000000" w:rsidRDefault="00000000" w:rsidRPr="00000000" w14:paraId="0000019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w:t>
            </w:r>
          </w:p>
        </w:tc>
        <w:tc>
          <w:tcPr/>
          <w:p w:rsidR="00000000" w:rsidDel="00000000" w:rsidP="00000000" w:rsidRDefault="00000000" w:rsidRPr="00000000" w14:paraId="0000019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Coreografías de negocio</w:t>
            </w:r>
          </w:p>
        </w:tc>
        <w:tc>
          <w:tcPr/>
          <w:p w:rsidR="00000000" w:rsidDel="00000000" w:rsidP="00000000" w:rsidRDefault="00000000" w:rsidRPr="00000000" w14:paraId="0000019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9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un API de negocio se puede</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acceder al ciclo de ejecución de una coreografía de negocio para ejecutar una funciones de negocio más sofisticadas.</w:t>
            </w:r>
          </w:p>
        </w:tc>
      </w:tr>
      <w:tr>
        <w:trPr>
          <w:cantSplit w:val="1"/>
          <w:trHeight w:val="590" w:hRule="atLeast"/>
          <w:tblHeader w:val="0"/>
        </w:trPr>
        <w:tc>
          <w:tcPr/>
          <w:p w:rsidR="00000000" w:rsidDel="00000000" w:rsidP="00000000" w:rsidRDefault="00000000" w:rsidRPr="00000000" w14:paraId="0000019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w:t>
            </w:r>
          </w:p>
        </w:tc>
        <w:tc>
          <w:tcPr/>
          <w:p w:rsidR="00000000" w:rsidDel="00000000" w:rsidP="00000000" w:rsidRDefault="00000000" w:rsidRPr="00000000" w14:paraId="0000019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w:t>
            </w:r>
          </w:p>
        </w:tc>
        <w:tc>
          <w:tcPr/>
          <w:p w:rsidR="00000000" w:rsidDel="00000000" w:rsidP="00000000" w:rsidRDefault="00000000" w:rsidRPr="00000000" w14:paraId="0000019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9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un API de negocio se puede</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acceder al ciclo de ejecución de un microservicio para ejecutar una función de negocio discreta y acotada.</w:t>
            </w:r>
          </w:p>
        </w:tc>
      </w:tr>
      <w:tr>
        <w:trPr>
          <w:cantSplit w:val="1"/>
          <w:trHeight w:val="590" w:hRule="atLeast"/>
          <w:tblHeader w:val="0"/>
        </w:trPr>
        <w:tc>
          <w:tcPr/>
          <w:p w:rsidR="00000000" w:rsidDel="00000000" w:rsidP="00000000" w:rsidRDefault="00000000" w:rsidRPr="00000000" w14:paraId="0000019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proxy</w:t>
            </w:r>
          </w:p>
        </w:tc>
        <w:tc>
          <w:tcPr/>
          <w:p w:rsidR="00000000" w:rsidDel="00000000" w:rsidP="00000000" w:rsidRDefault="00000000" w:rsidRPr="00000000" w14:paraId="0000019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Proveedores</w:t>
            </w:r>
          </w:p>
        </w:tc>
        <w:tc>
          <w:tcPr/>
          <w:p w:rsidR="00000000" w:rsidDel="00000000" w:rsidP="00000000" w:rsidRDefault="00000000" w:rsidRPr="00000000" w14:paraId="0000019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A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Las API proxy son la capa de acceso a las aplicaciones proveedoras, generalmente constituidas por las API o adaptadores que exponen las aplicaciones propias y de terceros.</w:t>
            </w:r>
          </w:p>
        </w:tc>
      </w:tr>
      <w:tr>
        <w:trPr>
          <w:cantSplit w:val="1"/>
          <w:trHeight w:val="590" w:hRule="atLeast"/>
          <w:tblHeader w:val="0"/>
        </w:trPr>
        <w:tc>
          <w:tcPr/>
          <w:p w:rsidR="00000000" w:rsidDel="00000000" w:rsidP="00000000" w:rsidRDefault="00000000" w:rsidRPr="00000000" w14:paraId="000001A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proxy</w:t>
            </w:r>
          </w:p>
        </w:tc>
        <w:tc>
          <w:tcPr/>
          <w:p w:rsidR="00000000" w:rsidDel="00000000" w:rsidP="00000000" w:rsidRDefault="00000000" w:rsidRPr="00000000" w14:paraId="000001A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Estructurados</w:t>
            </w:r>
          </w:p>
        </w:tc>
        <w:tc>
          <w:tcPr/>
          <w:p w:rsidR="00000000" w:rsidDel="00000000" w:rsidP="00000000" w:rsidRDefault="00000000" w:rsidRPr="00000000" w14:paraId="000001A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A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Las API proxy habilitan el acceso a los Sistemas de Registros de datos estructurados a través de adaptadores nativos que habilitan su interoperabilidad. </w:t>
            </w:r>
          </w:p>
        </w:tc>
      </w:tr>
      <w:tr>
        <w:trPr>
          <w:cantSplit w:val="1"/>
          <w:trHeight w:val="590" w:hRule="atLeast"/>
          <w:tblHeader w:val="0"/>
        </w:trPr>
        <w:tc>
          <w:tcPr/>
          <w:p w:rsidR="00000000" w:rsidDel="00000000" w:rsidP="00000000" w:rsidRDefault="00000000" w:rsidRPr="00000000" w14:paraId="000001A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proxy</w:t>
            </w:r>
          </w:p>
        </w:tc>
        <w:tc>
          <w:tcPr/>
          <w:p w:rsidR="00000000" w:rsidDel="00000000" w:rsidP="00000000" w:rsidRDefault="00000000" w:rsidRPr="00000000" w14:paraId="000001A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NO Estructurados</w:t>
            </w:r>
          </w:p>
        </w:tc>
        <w:tc>
          <w:tcPr/>
          <w:p w:rsidR="00000000" w:rsidDel="00000000" w:rsidP="00000000" w:rsidRDefault="00000000" w:rsidRPr="00000000" w14:paraId="000001A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A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Las API proxy habilitan el acceso a los Sistemas de Registros de datos NO estructurados a través de adaptadores nativos que habilitan su interoperabilidad. </w:t>
            </w:r>
          </w:p>
        </w:tc>
      </w:tr>
      <w:tr>
        <w:trPr>
          <w:cantSplit w:val="1"/>
          <w:trHeight w:val="590" w:hRule="atLeast"/>
          <w:tblHeader w:val="0"/>
        </w:trPr>
        <w:tc>
          <w:tcPr/>
          <w:p w:rsidR="00000000" w:rsidDel="00000000" w:rsidP="00000000" w:rsidRDefault="00000000" w:rsidRPr="00000000" w14:paraId="000001A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A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CDC</w:t>
            </w:r>
          </w:p>
        </w:tc>
        <w:tc>
          <w:tcPr/>
          <w:p w:rsidR="00000000" w:rsidDel="00000000" w:rsidP="00000000" w:rsidRDefault="00000000" w:rsidRPr="00000000" w14:paraId="000001A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Especialización</w:t>
            </w:r>
          </w:p>
        </w:tc>
        <w:tc>
          <w:tcPr/>
          <w:p w:rsidR="00000000" w:rsidDel="00000000" w:rsidP="00000000" w:rsidRDefault="00000000" w:rsidRPr="00000000" w14:paraId="000001A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CDC es una especialización de la Gestión de eventos para la sincronización de bases de datos.</w:t>
            </w:r>
          </w:p>
        </w:tc>
      </w:tr>
      <w:tr>
        <w:trPr>
          <w:cantSplit w:val="1"/>
          <w:trHeight w:val="590" w:hRule="atLeast"/>
          <w:tblHeader w:val="0"/>
        </w:trPr>
        <w:tc>
          <w:tcPr/>
          <w:p w:rsidR="00000000" w:rsidDel="00000000" w:rsidP="00000000" w:rsidRDefault="00000000" w:rsidRPr="00000000" w14:paraId="000001A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RPA</w:t>
            </w:r>
          </w:p>
        </w:tc>
        <w:tc>
          <w:tcPr/>
          <w:p w:rsidR="00000000" w:rsidDel="00000000" w:rsidP="00000000" w:rsidRDefault="00000000" w:rsidRPr="00000000" w14:paraId="000001A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guiada por peticiones</w:t>
            </w:r>
          </w:p>
        </w:tc>
        <w:tc>
          <w:tcPr/>
          <w:p w:rsidR="00000000" w:rsidDel="00000000" w:rsidP="00000000" w:rsidRDefault="00000000" w:rsidRPr="00000000" w14:paraId="000001A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B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flujo RPA tiene permitido invocar un API para completar su objetivo. Generalmente para validar o enriquecer los datos de su flujo y/o enviarlos a un destino definido.</w:t>
            </w:r>
          </w:p>
        </w:tc>
      </w:tr>
      <w:tr>
        <w:trPr>
          <w:cantSplit w:val="1"/>
          <w:trHeight w:val="590" w:hRule="atLeast"/>
          <w:tblHeader w:val="0"/>
        </w:trPr>
        <w:tc>
          <w:tcPr/>
          <w:p w:rsidR="00000000" w:rsidDel="00000000" w:rsidP="00000000" w:rsidRDefault="00000000" w:rsidRPr="00000000" w14:paraId="000001B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B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Procesamiento y Análisis de Datos</w:t>
            </w:r>
          </w:p>
        </w:tc>
        <w:tc>
          <w:tcPr/>
          <w:p w:rsidR="00000000" w:rsidDel="00000000" w:rsidP="00000000" w:rsidRDefault="00000000" w:rsidRPr="00000000" w14:paraId="000001B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Restringido</w:t>
            </w:r>
          </w:p>
        </w:tc>
        <w:tc>
          <w:tcPr/>
          <w:p w:rsidR="00000000" w:rsidDel="00000000" w:rsidP="00000000" w:rsidRDefault="00000000" w:rsidRPr="00000000" w14:paraId="000001B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 la</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gestión de archivos está dada por procesos batch aislados que se ejecutan vía un “scheduler” entonces esta relación es restringida, ya que no constituye un medio fiable para asegurar la transmisión de datos a la capa Analítica. Esto puede cambiar si se habilitan capacidades MFT (Managed File Transfer) a este escenario de integración.</w:t>
            </w:r>
          </w:p>
        </w:tc>
      </w:tr>
      <w:tr>
        <w:trPr>
          <w:cantSplit w:val="1"/>
          <w:trHeight w:val="590" w:hRule="atLeast"/>
          <w:tblHeader w:val="0"/>
        </w:trPr>
        <w:tc>
          <w:tcPr/>
          <w:p w:rsidR="00000000" w:rsidDel="00000000" w:rsidP="00000000" w:rsidRDefault="00000000" w:rsidRPr="00000000" w14:paraId="000001B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w:t>
            </w:r>
          </w:p>
        </w:tc>
        <w:tc>
          <w:tcPr/>
          <w:p w:rsidR="00000000" w:rsidDel="00000000" w:rsidP="00000000" w:rsidRDefault="00000000" w:rsidRPr="00000000" w14:paraId="000001B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B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B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flujo ETL es el elemento apropiado para gestionar integraciones por lotes, en la cual, se mueven grandes volúmenes de datos. En este escenario un flujo ETL puede procesar archivos para la transmisión de datos.</w:t>
            </w:r>
          </w:p>
        </w:tc>
      </w:tr>
      <w:tr>
        <w:trPr>
          <w:cantSplit w:val="1"/>
          <w:trHeight w:val="590" w:hRule="atLeast"/>
          <w:tblHeader w:val="0"/>
        </w:trPr>
        <w:tc>
          <w:tcPr/>
          <w:p w:rsidR="00000000" w:rsidDel="00000000" w:rsidP="00000000" w:rsidRDefault="00000000" w:rsidRPr="00000000" w14:paraId="000001B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w:t>
            </w:r>
          </w:p>
        </w:tc>
        <w:tc>
          <w:tcPr/>
          <w:p w:rsidR="00000000" w:rsidDel="00000000" w:rsidP="00000000" w:rsidRDefault="00000000" w:rsidRPr="00000000" w14:paraId="000001B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guiada por peticiones</w:t>
            </w:r>
          </w:p>
        </w:tc>
        <w:tc>
          <w:tcPr/>
          <w:p w:rsidR="00000000" w:rsidDel="00000000" w:rsidP="00000000" w:rsidRDefault="00000000" w:rsidRPr="00000000" w14:paraId="000001B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B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flujo ETL tiene permitido invocar un API para completar su objetivo. Generalmente para validar o enriquecer los datos de su flujo.</w:t>
            </w:r>
          </w:p>
        </w:tc>
      </w:tr>
      <w:tr>
        <w:trPr>
          <w:cantSplit w:val="1"/>
          <w:trHeight w:val="590" w:hRule="atLeast"/>
          <w:tblHeader w:val="0"/>
        </w:trPr>
        <w:tc>
          <w:tcPr/>
          <w:p w:rsidR="00000000" w:rsidDel="00000000" w:rsidP="00000000" w:rsidRDefault="00000000" w:rsidRPr="00000000" w14:paraId="000001B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w:t>
            </w:r>
          </w:p>
        </w:tc>
        <w:tc>
          <w:tcPr/>
          <w:p w:rsidR="00000000" w:rsidDel="00000000" w:rsidP="00000000" w:rsidRDefault="00000000" w:rsidRPr="00000000" w14:paraId="000001B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Estructurados</w:t>
            </w:r>
          </w:p>
        </w:tc>
        <w:tc>
          <w:tcPr/>
          <w:p w:rsidR="00000000" w:rsidDel="00000000" w:rsidP="00000000" w:rsidRDefault="00000000" w:rsidRPr="00000000" w14:paraId="000001B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C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flujos ETL tienen permitido el acceso a las bases de datos transaccionales para recuperar los datos de interés, enriquecerlos y volcarlos a sus repositorios destinos. Este acceso no debe interferir con la operación normal de las bases de datos transaccionales.</w:t>
            </w:r>
          </w:p>
        </w:tc>
      </w:tr>
      <w:tr>
        <w:trPr>
          <w:cantSplit w:val="1"/>
          <w:trHeight w:val="590" w:hRule="atLeast"/>
          <w:tblHeader w:val="0"/>
        </w:trPr>
        <w:tc>
          <w:tcPr/>
          <w:p w:rsidR="00000000" w:rsidDel="00000000" w:rsidP="00000000" w:rsidRDefault="00000000" w:rsidRPr="00000000" w14:paraId="000001C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w:t>
            </w:r>
          </w:p>
        </w:tc>
        <w:tc>
          <w:tcPr/>
          <w:p w:rsidR="00000000" w:rsidDel="00000000" w:rsidP="00000000" w:rsidRDefault="00000000" w:rsidRPr="00000000" w14:paraId="000001C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Hub de datos</w:t>
            </w:r>
          </w:p>
        </w:tc>
        <w:tc>
          <w:tcPr/>
          <w:p w:rsidR="00000000" w:rsidDel="00000000" w:rsidP="00000000" w:rsidRDefault="00000000" w:rsidRPr="00000000" w14:paraId="000001C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C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flujos ETL que movilizan grandes volúmenes de información deben constituirse en los principales canales para el volcado de datos al hub de datos</w:t>
            </w:r>
          </w:p>
        </w:tc>
      </w:tr>
      <w:tr>
        <w:trPr>
          <w:cantSplit w:val="1"/>
          <w:trHeight w:val="590" w:hRule="atLeast"/>
          <w:tblHeader w:val="0"/>
        </w:trPr>
        <w:tc>
          <w:tcPr/>
          <w:p w:rsidR="00000000" w:rsidDel="00000000" w:rsidP="00000000" w:rsidRDefault="00000000" w:rsidRPr="00000000" w14:paraId="000001C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w:t>
            </w:r>
          </w:p>
        </w:tc>
        <w:tc>
          <w:tcPr/>
          <w:p w:rsidR="00000000" w:rsidDel="00000000" w:rsidP="00000000" w:rsidRDefault="00000000" w:rsidRPr="00000000" w14:paraId="000001C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Procesamiento y Análisis de Datos</w:t>
            </w:r>
          </w:p>
        </w:tc>
        <w:tc>
          <w:tcPr/>
          <w:p w:rsidR="00000000" w:rsidDel="00000000" w:rsidP="00000000" w:rsidRDefault="00000000" w:rsidRPr="00000000" w14:paraId="000001C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C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flujos ETL que movilizan grandes volúmenes de información deben constituirse en los principales canales para el volcado de datos a los repositorios de la capa Analítica.</w:t>
            </w:r>
          </w:p>
        </w:tc>
      </w:tr>
      <w:tr>
        <w:trPr>
          <w:cantSplit w:val="1"/>
          <w:trHeight w:val="590" w:hRule="atLeast"/>
          <w:tblHeader w:val="0"/>
        </w:trPr>
        <w:tc>
          <w:tcPr/>
          <w:p w:rsidR="00000000" w:rsidDel="00000000" w:rsidP="00000000" w:rsidRDefault="00000000" w:rsidRPr="00000000" w14:paraId="000001C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Estructurados</w:t>
            </w:r>
          </w:p>
        </w:tc>
        <w:tc>
          <w:tcPr/>
          <w:p w:rsidR="00000000" w:rsidDel="00000000" w:rsidP="00000000" w:rsidRDefault="00000000" w:rsidRPr="00000000" w14:paraId="000001C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Brokering</w:t>
            </w:r>
          </w:p>
        </w:tc>
        <w:tc>
          <w:tcPr/>
          <w:p w:rsidR="00000000" w:rsidDel="00000000" w:rsidP="00000000" w:rsidRDefault="00000000" w:rsidRPr="00000000" w14:paraId="000001C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C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sistemas de registros está habilitada la sincronización de datos a otros repositorios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de BanCoppel.</w:t>
            </w:r>
          </w:p>
        </w:tc>
      </w:tr>
      <w:tr>
        <w:trPr>
          <w:cantSplit w:val="1"/>
          <w:trHeight w:val="590" w:hRule="atLeast"/>
          <w:tblHeader w:val="0"/>
        </w:trPr>
        <w:tc>
          <w:tcPr/>
          <w:p w:rsidR="00000000" w:rsidDel="00000000" w:rsidP="00000000" w:rsidRDefault="00000000" w:rsidRPr="00000000" w14:paraId="000001C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Brokering</w:t>
            </w:r>
          </w:p>
        </w:tc>
        <w:tc>
          <w:tcPr/>
          <w:p w:rsidR="00000000" w:rsidDel="00000000" w:rsidP="00000000" w:rsidRDefault="00000000" w:rsidRPr="00000000" w14:paraId="000001C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Estructurados</w:t>
            </w:r>
          </w:p>
        </w:tc>
        <w:tc>
          <w:tcPr/>
          <w:p w:rsidR="00000000" w:rsidDel="00000000" w:rsidP="00000000" w:rsidRDefault="00000000" w:rsidRPr="00000000" w14:paraId="000001C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D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 función de broker del hub de datos está habilitada la sincronización de datos con las zonas de procesamiento de datos de BanCoppel</w:t>
            </w:r>
          </w:p>
        </w:tc>
      </w:tr>
      <w:tr>
        <w:trPr>
          <w:cantSplit w:val="1"/>
          <w:trHeight w:val="590" w:hRule="atLeast"/>
          <w:tblHeader w:val="0"/>
        </w:trPr>
        <w:tc>
          <w:tcPr/>
          <w:p w:rsidR="00000000" w:rsidDel="00000000" w:rsidP="00000000" w:rsidRDefault="00000000" w:rsidRPr="00000000" w14:paraId="000001D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Brokering</w:t>
            </w:r>
          </w:p>
        </w:tc>
        <w:tc>
          <w:tcPr/>
          <w:p w:rsidR="00000000" w:rsidDel="00000000" w:rsidP="00000000" w:rsidRDefault="00000000" w:rsidRPr="00000000" w14:paraId="000001D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Procesamiento y Análisis de Datos</w:t>
            </w:r>
          </w:p>
        </w:tc>
        <w:tc>
          <w:tcPr/>
          <w:p w:rsidR="00000000" w:rsidDel="00000000" w:rsidP="00000000" w:rsidRDefault="00000000" w:rsidRPr="00000000" w14:paraId="000001D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D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 función de broker del hub de datos está habilitada la sincronización de datos con los sistemas de registros</w:t>
            </w:r>
          </w:p>
        </w:tc>
      </w:tr>
      <w:tr>
        <w:trPr>
          <w:cantSplit w:val="1"/>
          <w:trHeight w:val="590" w:hRule="atLeast"/>
          <w:tblHeader w:val="0"/>
        </w:trPr>
        <w:tc>
          <w:tcPr/>
          <w:p w:rsidR="00000000" w:rsidDel="00000000" w:rsidP="00000000" w:rsidRDefault="00000000" w:rsidRPr="00000000" w14:paraId="000001D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Procesamiento y Análisis de Datos</w:t>
            </w:r>
          </w:p>
        </w:tc>
        <w:tc>
          <w:tcPr/>
          <w:p w:rsidR="00000000" w:rsidDel="00000000" w:rsidP="00000000" w:rsidRDefault="00000000" w:rsidRPr="00000000" w14:paraId="000001D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Brokering</w:t>
            </w:r>
          </w:p>
        </w:tc>
        <w:tc>
          <w:tcPr/>
          <w:p w:rsidR="00000000" w:rsidDel="00000000" w:rsidP="00000000" w:rsidRDefault="00000000" w:rsidRPr="00000000" w14:paraId="000001D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D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diferentes zonas de procesamiento de datos está habilitada la sincronización de datos a otros repositorios de BanCoppel a través de la función de broker del hub de datos.</w:t>
            </w:r>
          </w:p>
        </w:tc>
      </w:tr>
      <w:tr>
        <w:trPr>
          <w:cantSplit w:val="1"/>
          <w:trHeight w:val="590" w:hRule="atLeast"/>
          <w:tblHeader w:val="0"/>
        </w:trPr>
        <w:tc>
          <w:tcPr/>
          <w:p w:rsidR="00000000" w:rsidDel="00000000" w:rsidP="00000000" w:rsidRDefault="00000000" w:rsidRPr="00000000" w14:paraId="000001D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w:t>
            </w:r>
          </w:p>
        </w:tc>
        <w:tc>
          <w:tcPr/>
          <w:p w:rsidR="00000000" w:rsidDel="00000000" w:rsidP="00000000" w:rsidRDefault="00000000" w:rsidRPr="00000000" w14:paraId="000001D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Todas</w:t>
            </w:r>
          </w:p>
        </w:tc>
        <w:tc>
          <w:tcPr/>
          <w:p w:rsidR="00000000" w:rsidDel="00000000" w:rsidP="00000000" w:rsidRDefault="00000000" w:rsidRPr="00000000" w14:paraId="000001D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Gestionado</w:t>
            </w:r>
          </w:p>
        </w:tc>
        <w:tc>
          <w:tcPr/>
          <w:p w:rsidR="00000000" w:rsidDel="00000000" w:rsidP="00000000" w:rsidRDefault="00000000" w:rsidRPr="00000000" w14:paraId="000001D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 capa de gobierno deben gestionarse los diferentes escenarios de implementación a través de un marco de gobierno y catálogos de los elementos que conforman el ecosistema de BanCoppel.</w:t>
            </w:r>
          </w:p>
        </w:tc>
      </w:tr>
      <w:tr>
        <w:trPr>
          <w:cantSplit w:val="1"/>
          <w:trHeight w:val="590" w:hRule="atLeast"/>
          <w:tblHeader w:val="0"/>
        </w:trPr>
        <w:tc>
          <w:tcPr/>
          <w:p w:rsidR="00000000" w:rsidDel="00000000" w:rsidP="00000000" w:rsidRDefault="00000000" w:rsidRPr="00000000" w14:paraId="000001D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Administración</w:t>
            </w:r>
          </w:p>
        </w:tc>
        <w:tc>
          <w:tcPr/>
          <w:p w:rsidR="00000000" w:rsidDel="00000000" w:rsidP="00000000" w:rsidRDefault="00000000" w:rsidRPr="00000000" w14:paraId="000001D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Todas</w:t>
            </w:r>
          </w:p>
        </w:tc>
        <w:tc>
          <w:tcPr/>
          <w:p w:rsidR="00000000" w:rsidDel="00000000" w:rsidP="00000000" w:rsidRDefault="00000000" w:rsidRPr="00000000" w14:paraId="000001D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Gestionado</w:t>
            </w:r>
          </w:p>
        </w:tc>
        <w:tc>
          <w:tcPr/>
          <w:p w:rsidR="00000000" w:rsidDel="00000000" w:rsidP="00000000" w:rsidRDefault="00000000" w:rsidRPr="00000000" w14:paraId="000001E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 capa de Administración se despliegan las funciones de monitoreo y seguridad sobre la plataforma digital de BanCoppel.</w:t>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before="240" w:line="360" w:lineRule="auto"/>
        <w:ind w:left="357" w:hanging="360"/>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1E2">
      <w:pPr>
        <w:rPr>
          <w:rFonts w:ascii="Museo Sans 300" w:cs="Museo Sans 300" w:eastAsia="Museo Sans 300" w:hAnsi="Museo Sans 300"/>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numPr>
          <w:ilvl w:val="0"/>
          <w:numId w:val="2"/>
        </w:numPr>
        <w:ind w:left="720" w:hanging="360"/>
        <w:rPr/>
      </w:pPr>
      <w:bookmarkStart w:colFirst="0" w:colLast="0" w:name="_heading=h.44sinio" w:id="7"/>
      <w:bookmarkEnd w:id="7"/>
      <w:r w:rsidDel="00000000" w:rsidR="00000000" w:rsidRPr="00000000">
        <w:rPr>
          <w:rtl w:val="0"/>
        </w:rPr>
        <w:t xml:space="preserve">Guías de variabilidad</w:t>
      </w:r>
    </w:p>
    <w:p w:rsidR="00000000" w:rsidDel="00000000" w:rsidP="00000000" w:rsidRDefault="00000000" w:rsidRPr="00000000" w14:paraId="000001E4">
      <w:pPr>
        <w:rPr/>
      </w:pPr>
      <w:r w:rsidDel="00000000" w:rsidR="00000000" w:rsidRPr="00000000">
        <w:rPr>
          <w:rtl w:val="0"/>
        </w:rPr>
      </w:r>
    </w:p>
    <w:tbl>
      <w:tblPr>
        <w:tblStyle w:val="Table6"/>
        <w:tblW w:w="8828.0" w:type="dxa"/>
        <w:jc w:val="left"/>
        <w:tblBorders>
          <w:top w:color="5f5f5f" w:space="0" w:sz="4" w:val="single"/>
          <w:left w:color="5f5f5f" w:space="0" w:sz="4" w:val="single"/>
          <w:bottom w:color="5f5f5f" w:space="0" w:sz="4" w:val="single"/>
          <w:right w:color="5f5f5f" w:space="0" w:sz="4" w:val="single"/>
          <w:insideH w:color="009999" w:space="0" w:sz="4" w:val="dotted"/>
          <w:insideV w:color="009999" w:space="0" w:sz="4" w:val="dotted"/>
        </w:tblBorders>
        <w:tblLayout w:type="fixed"/>
        <w:tblLook w:val="0020"/>
      </w:tblPr>
      <w:tblGrid>
        <w:gridCol w:w="1375"/>
        <w:gridCol w:w="1455"/>
        <w:gridCol w:w="2284"/>
        <w:gridCol w:w="1956"/>
        <w:gridCol w:w="1758"/>
        <w:tblGridChange w:id="0">
          <w:tblGrid>
            <w:gridCol w:w="1375"/>
            <w:gridCol w:w="1455"/>
            <w:gridCol w:w="2284"/>
            <w:gridCol w:w="1956"/>
            <w:gridCol w:w="1758"/>
          </w:tblGrid>
        </w:tblGridChange>
      </w:tblGrid>
      <w:tr>
        <w:trPr>
          <w:cantSplit w:val="1"/>
          <w:tblHeader w:val="0"/>
        </w:trPr>
        <w:tc>
          <w:tcPr>
            <w:shd w:fill="0070c0" w:val="clear"/>
          </w:tcPr>
          <w:p w:rsidR="00000000" w:rsidDel="00000000" w:rsidP="00000000" w:rsidRDefault="00000000" w:rsidRPr="00000000" w14:paraId="000001E5">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Punto de variación</w:t>
            </w:r>
          </w:p>
        </w:tc>
        <w:tc>
          <w:tcPr>
            <w:shd w:fill="0070c0" w:val="clear"/>
          </w:tcPr>
          <w:p w:rsidR="00000000" w:rsidDel="00000000" w:rsidP="00000000" w:rsidRDefault="00000000" w:rsidRPr="00000000" w14:paraId="000001E6">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Elemento o relación afectada</w:t>
            </w:r>
          </w:p>
        </w:tc>
        <w:tc>
          <w:tcPr>
            <w:shd w:fill="0070c0" w:val="clear"/>
          </w:tcPr>
          <w:p w:rsidR="00000000" w:rsidDel="00000000" w:rsidP="00000000" w:rsidRDefault="00000000" w:rsidRPr="00000000" w14:paraId="000001E7">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Variantes</w:t>
            </w:r>
          </w:p>
        </w:tc>
        <w:tc>
          <w:tcPr>
            <w:shd w:fill="0070c0" w:val="clear"/>
          </w:tcPr>
          <w:p w:rsidR="00000000" w:rsidDel="00000000" w:rsidP="00000000" w:rsidRDefault="00000000" w:rsidRPr="00000000" w14:paraId="000001E8">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Condiciones</w:t>
            </w:r>
          </w:p>
        </w:tc>
        <w:tc>
          <w:tcPr>
            <w:shd w:fill="0070c0" w:val="clear"/>
          </w:tcPr>
          <w:p w:rsidR="00000000" w:rsidDel="00000000" w:rsidP="00000000" w:rsidRDefault="00000000" w:rsidRPr="00000000" w14:paraId="000001E9">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Momento de asociación</w:t>
            </w:r>
          </w:p>
        </w:tc>
      </w:tr>
      <w:tr>
        <w:trPr>
          <w:cantSplit w:val="1"/>
          <w:tblHeader w:val="0"/>
        </w:trPr>
        <w:tc>
          <w:tcPr/>
          <w:p w:rsidR="00000000" w:rsidDel="00000000" w:rsidP="00000000" w:rsidRDefault="00000000" w:rsidRPr="00000000" w14:paraId="000001E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Decisiones de negocio</w:t>
            </w:r>
          </w:p>
        </w:tc>
        <w:tc>
          <w:tcPr/>
          <w:p w:rsidR="00000000" w:rsidDel="00000000" w:rsidP="00000000" w:rsidRDefault="00000000" w:rsidRPr="00000000" w14:paraId="000001E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reglas de negocio</w:t>
            </w:r>
          </w:p>
        </w:tc>
        <w:tc>
          <w:tcPr/>
          <w:p w:rsidR="00000000" w:rsidDel="00000000" w:rsidP="00000000" w:rsidRDefault="00000000" w:rsidRPr="00000000" w14:paraId="000001E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 bien se los equipos de arquitectura de BanCoppel coinciden en la necesidad de homologar la capa de gestión reglas debe considerarse que puede haber más de una plataforma tecnológica vinculada a este segmento</w:t>
            </w:r>
          </w:p>
          <w:p w:rsidR="00000000" w:rsidDel="00000000" w:rsidP="00000000" w:rsidRDefault="00000000" w:rsidRPr="00000000" w14:paraId="000001E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Actualmente, existe una iniciativa de implementar la solución de motor de consultas de crédito y la configuración de modelos de decisiones vinculadas a este contexto.</w:t>
            </w:r>
          </w:p>
          <w:p w:rsidR="00000000" w:rsidDel="00000000" w:rsidP="00000000" w:rsidRDefault="00000000" w:rsidRPr="00000000" w14:paraId="000001E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Todos los modelos y/o reglas que escapen al alcance de este motor de consultas de crédito deben ser implementados de manera desacoplada en una plataforma tipo DMS (Decision Management Suite).</w:t>
            </w:r>
          </w:p>
          <w:p w:rsidR="00000000" w:rsidDel="00000000" w:rsidP="00000000" w:rsidRDefault="00000000" w:rsidRPr="00000000" w14:paraId="000001EF">
            <w:pPr>
              <w:jc w:val="both"/>
              <w:rPr>
                <w:rFonts w:ascii="Quattrocento Sans" w:cs="Quattrocento Sans" w:eastAsia="Quattrocento Sans" w:hAnsi="Quattrocento Sans"/>
                <w:sz w:val="18"/>
                <w:szCs w:val="18"/>
              </w:rPr>
            </w:pPr>
            <w:r w:rsidDel="00000000" w:rsidR="00000000" w:rsidRPr="00000000">
              <w:rPr>
                <w:rtl w:val="0"/>
              </w:rPr>
            </w:r>
          </w:p>
        </w:tc>
        <w:tc>
          <w:tcPr/>
          <w:p w:rsidR="00000000" w:rsidDel="00000000" w:rsidP="00000000" w:rsidRDefault="00000000" w:rsidRPr="00000000" w14:paraId="000001F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Estableciendo si el dominio de las reglas está asociado al motor de consultas de crédito o no, debe decidirse la configuración y despliegue de las reglas de negocio.</w:t>
            </w:r>
          </w:p>
        </w:tc>
        <w:tc>
          <w:tcPr/>
          <w:p w:rsidR="00000000" w:rsidDel="00000000" w:rsidP="00000000" w:rsidRDefault="00000000" w:rsidRPr="00000000" w14:paraId="000001F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tiempo de diseño de la solución al definir el tipo de despliegue que tendrán las reglas de negocio identificadas y especificadas.</w:t>
            </w:r>
          </w:p>
        </w:tc>
      </w:tr>
      <w:tr>
        <w:trPr>
          <w:cantSplit w:val="1"/>
          <w:tblHeader w:val="0"/>
        </w:trPr>
        <w:tc>
          <w:tcPr/>
          <w:p w:rsidR="00000000" w:rsidDel="00000000" w:rsidP="00000000" w:rsidRDefault="00000000" w:rsidRPr="00000000" w14:paraId="000001F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w:t>
            </w:r>
          </w:p>
        </w:tc>
        <w:tc>
          <w:tcPr/>
          <w:p w:rsidR="00000000" w:rsidDel="00000000" w:rsidP="00000000" w:rsidRDefault="00000000" w:rsidRPr="00000000" w14:paraId="000001F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 invocando API</w:t>
            </w:r>
          </w:p>
        </w:tc>
        <w:tc>
          <w:tcPr/>
          <w:p w:rsidR="00000000" w:rsidDel="00000000" w:rsidP="00000000" w:rsidRDefault="00000000" w:rsidRPr="00000000" w14:paraId="000001F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microservicio invoca un API para completar su función. En una etapa temprana de adopción de enfoques de desacoplamiento se suelen aprovechar “lógicas” contenidas en otras API/servicios existentes. Hacer uso de estas API existentes puede ahorrar tiempo en el corto plazo pero viola el principio de independencia de los microservicios.</w:t>
            </w:r>
          </w:p>
          <w:p w:rsidR="00000000" w:rsidDel="00000000" w:rsidP="00000000" w:rsidRDefault="00000000" w:rsidRPr="00000000" w14:paraId="000001F5">
            <w:pPr>
              <w:jc w:val="both"/>
              <w:rPr>
                <w:rFonts w:ascii="Quattrocento Sans" w:cs="Quattrocento Sans" w:eastAsia="Quattrocento Sans" w:hAnsi="Quattrocento Sans"/>
                <w:sz w:val="18"/>
                <w:szCs w:val="18"/>
              </w:rPr>
            </w:pPr>
            <w:r w:rsidDel="00000000" w:rsidR="00000000" w:rsidRPr="00000000">
              <w:rPr>
                <w:rtl w:val="0"/>
              </w:rPr>
            </w:r>
          </w:p>
        </w:tc>
        <w:tc>
          <w:tcPr/>
          <w:p w:rsidR="00000000" w:rsidDel="00000000" w:rsidP="00000000" w:rsidRDefault="00000000" w:rsidRPr="00000000" w14:paraId="000001F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junta de arquitectura debe establecer un arquitectura de transición inicial que permita este tipo de integración pero debe estar asociados un marco temporal finito para lograr llegar a la arquitectura objetivo.</w:t>
            </w:r>
          </w:p>
          <w:p w:rsidR="00000000" w:rsidDel="00000000" w:rsidP="00000000" w:rsidRDefault="00000000" w:rsidRPr="00000000" w14:paraId="000001F7">
            <w:pPr>
              <w:ind w:firstLine="708"/>
              <w:jc w:val="both"/>
              <w:rPr>
                <w:rFonts w:ascii="Quattrocento Sans" w:cs="Quattrocento Sans" w:eastAsia="Quattrocento Sans" w:hAnsi="Quattrocento Sans"/>
                <w:sz w:val="18"/>
                <w:szCs w:val="18"/>
              </w:rPr>
            </w:pPr>
            <w:r w:rsidDel="00000000" w:rsidR="00000000" w:rsidRPr="00000000">
              <w:rPr>
                <w:rtl w:val="0"/>
              </w:rPr>
            </w:r>
          </w:p>
        </w:tc>
        <w:tc>
          <w:tcPr/>
          <w:p w:rsidR="00000000" w:rsidDel="00000000" w:rsidP="00000000" w:rsidRDefault="00000000" w:rsidRPr="00000000" w14:paraId="000001F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el tiempo</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de diseño de la solución, es importante ser consciente que este tipo de decisiones se da en un contexto de arquitectura de transición (arquitectura temporal hasta llegar a la arquitectura objetivo). En este tipo de arquitecturas se buscan aprovechar las capacidades actuales implementadas, en este caso debe evaluarse la factibilidad de utilizar comunicación asíncrona para no generar un acoplamiento entre los componentes de la solución.</w:t>
            </w:r>
          </w:p>
        </w:tc>
      </w:tr>
      <w:tr>
        <w:trPr>
          <w:cantSplit w:val="1"/>
          <w:tblHeader w:val="0"/>
        </w:trPr>
        <w:tc>
          <w:tcPr/>
          <w:p w:rsidR="00000000" w:rsidDel="00000000" w:rsidP="00000000" w:rsidRDefault="00000000" w:rsidRPr="00000000" w14:paraId="000001F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Escenarios de integración</w:t>
            </w:r>
          </w:p>
        </w:tc>
        <w:tc>
          <w:tcPr/>
          <w:p w:rsidR="00000000" w:rsidDel="00000000" w:rsidP="00000000" w:rsidRDefault="00000000" w:rsidRPr="00000000" w14:paraId="000001F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API/servicios</w:t>
            </w:r>
          </w:p>
        </w:tc>
        <w:tc>
          <w:tcPr/>
          <w:p w:rsidR="00000000" w:rsidDel="00000000" w:rsidP="00000000" w:rsidRDefault="00000000" w:rsidRPr="00000000" w14:paraId="000001F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ha definido dos plataformas tecnológicas para abordar escenarios de integración: Google Apigee y Anypoint Mulesoft.</w:t>
            </w:r>
          </w:p>
          <w:p w:rsidR="00000000" w:rsidDel="00000000" w:rsidP="00000000" w:rsidRDefault="00000000" w:rsidRPr="00000000" w14:paraId="000001F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Actualmente, existen 17 tipos de diferentes plataformas de integración que buscarán</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homologarse a las dos seleccionadas durante los próximos años.</w:t>
            </w:r>
          </w:p>
        </w:tc>
        <w:tc>
          <w:tcPr/>
          <w:p w:rsidR="00000000" w:rsidDel="00000000" w:rsidP="00000000" w:rsidRDefault="00000000" w:rsidRPr="00000000" w14:paraId="000001F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junta de arquitectura de BanCoppel debe establecer los criterios para utilizar Google apigee o Anypoint Mulesoft. Estos criterios pueden estar dados por:</w:t>
            </w:r>
          </w:p>
          <w:p w:rsidR="00000000" w:rsidDel="00000000" w:rsidP="00000000" w:rsidRDefault="00000000" w:rsidRPr="00000000" w14:paraId="000001FE">
            <w:pPr>
              <w:numPr>
                <w:ilvl w:val="0"/>
                <w:numId w:val="8"/>
              </w:numPr>
              <w:pBdr>
                <w:top w:space="0" w:sz="0" w:val="nil"/>
                <w:left w:space="0" w:sz="0" w:val="nil"/>
                <w:bottom w:space="0" w:sz="0" w:val="nil"/>
                <w:right w:space="0" w:sz="0" w:val="nil"/>
                <w:between w:space="0" w:sz="0" w:val="nil"/>
              </w:pBdr>
              <w:ind w:left="37" w:hanging="76"/>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Dominios de negocio</w:t>
            </w:r>
          </w:p>
          <w:p w:rsidR="00000000" w:rsidDel="00000000" w:rsidP="00000000" w:rsidRDefault="00000000" w:rsidRPr="00000000" w14:paraId="000001FF">
            <w:pPr>
              <w:numPr>
                <w:ilvl w:val="0"/>
                <w:numId w:val="8"/>
              </w:numPr>
              <w:pBdr>
                <w:top w:space="0" w:sz="0" w:val="nil"/>
                <w:left w:space="0" w:sz="0" w:val="nil"/>
                <w:bottom w:space="0" w:sz="0" w:val="nil"/>
                <w:right w:space="0" w:sz="0" w:val="nil"/>
                <w:between w:space="0" w:sz="0" w:val="nil"/>
              </w:pBdr>
              <w:ind w:left="37" w:hanging="76"/>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Uso de adaptadores y protocolos específicos de las plataformas</w:t>
            </w:r>
          </w:p>
          <w:p w:rsidR="00000000" w:rsidDel="00000000" w:rsidP="00000000" w:rsidRDefault="00000000" w:rsidRPr="00000000" w14:paraId="00000200">
            <w:pPr>
              <w:numPr>
                <w:ilvl w:val="0"/>
                <w:numId w:val="8"/>
              </w:numPr>
              <w:pBdr>
                <w:top w:space="0" w:sz="0" w:val="nil"/>
                <w:left w:space="0" w:sz="0" w:val="nil"/>
                <w:bottom w:space="0" w:sz="0" w:val="nil"/>
                <w:right w:space="0" w:sz="0" w:val="nil"/>
                <w:between w:space="0" w:sz="0" w:val="nil"/>
              </w:pBdr>
              <w:ind w:left="37" w:hanging="76"/>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Costos asociados a los esquemas de suscripción de cada una de ellas.</w:t>
            </w:r>
          </w:p>
        </w:tc>
        <w:tc>
          <w:tcPr/>
          <w:p w:rsidR="00000000" w:rsidDel="00000000" w:rsidP="00000000" w:rsidRDefault="00000000" w:rsidRPr="00000000" w14:paraId="0000020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tiempo de diseño de la solución al definir el tipo de despliegue que tendrán las API/Servicios que deben configurarse.</w:t>
            </w:r>
          </w:p>
        </w:tc>
      </w:tr>
    </w:tbl>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before="240" w:line="360" w:lineRule="auto"/>
        <w:ind w:left="360" w:hanging="360"/>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203">
      <w:pPr>
        <w:rPr>
          <w:rFonts w:ascii="Museo Sans 300" w:cs="Museo Sans 300" w:eastAsia="Museo Sans 300" w:hAnsi="Museo Sans 300"/>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numPr>
          <w:ilvl w:val="0"/>
          <w:numId w:val="2"/>
        </w:numPr>
        <w:ind w:left="720" w:hanging="360"/>
        <w:rPr/>
      </w:pPr>
      <w:bookmarkStart w:colFirst="0" w:colLast="0" w:name="_heading=h.2jxsxqh" w:id="8"/>
      <w:bookmarkEnd w:id="8"/>
      <w:r w:rsidDel="00000000" w:rsidR="00000000" w:rsidRPr="00000000">
        <w:rPr>
          <w:rtl w:val="0"/>
        </w:rPr>
        <w:t xml:space="preserve">Justificación</w:t>
      </w:r>
    </w:p>
    <w:p w:rsidR="00000000" w:rsidDel="00000000" w:rsidP="00000000" w:rsidRDefault="00000000" w:rsidRPr="00000000" w14:paraId="00000205">
      <w:pPr>
        <w:rPr/>
      </w:pPr>
      <w:r w:rsidDel="00000000" w:rsidR="00000000" w:rsidRPr="00000000">
        <w:rPr>
          <w:rtl w:val="0"/>
        </w:rPr>
      </w:r>
    </w:p>
    <w:tbl>
      <w:tblPr>
        <w:tblStyle w:val="Table7"/>
        <w:tblW w:w="9924.0" w:type="dxa"/>
        <w:jc w:val="left"/>
        <w:tblInd w:w="-431.0" w:type="dxa"/>
        <w:tblBorders>
          <w:top w:color="5f5f5f" w:space="0" w:sz="4" w:val="single"/>
          <w:left w:color="5f5f5f" w:space="0" w:sz="4" w:val="single"/>
          <w:bottom w:color="5f5f5f" w:space="0" w:sz="4" w:val="single"/>
          <w:right w:color="5f5f5f" w:space="0" w:sz="4" w:val="single"/>
          <w:insideH w:color="009999" w:space="0" w:sz="4" w:val="dotted"/>
          <w:insideV w:color="009999" w:space="0" w:sz="4" w:val="dotted"/>
        </w:tblBorders>
        <w:tblLayout w:type="fixed"/>
        <w:tblLook w:val="00A0"/>
      </w:tblPr>
      <w:tblGrid>
        <w:gridCol w:w="962"/>
        <w:gridCol w:w="1408"/>
        <w:gridCol w:w="2755"/>
        <w:gridCol w:w="4799"/>
        <w:tblGridChange w:id="0">
          <w:tblGrid>
            <w:gridCol w:w="962"/>
            <w:gridCol w:w="1408"/>
            <w:gridCol w:w="2755"/>
            <w:gridCol w:w="4799"/>
          </w:tblGrid>
        </w:tblGridChange>
      </w:tblGrid>
      <w:tr>
        <w:trPr>
          <w:cantSplit w:val="1"/>
          <w:trHeight w:val="240" w:hRule="atLeast"/>
          <w:tblHeader w:val="0"/>
        </w:trPr>
        <w:tc>
          <w:tcPr>
            <w:shd w:fill="0070c0" w:val="clear"/>
          </w:tcPr>
          <w:p w:rsidR="00000000" w:rsidDel="00000000" w:rsidP="00000000" w:rsidRDefault="00000000" w:rsidRPr="00000000" w14:paraId="00000206">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Código de Req.</w:t>
            </w:r>
          </w:p>
        </w:tc>
        <w:tc>
          <w:tcPr>
            <w:shd w:fill="0070c0" w:val="clear"/>
          </w:tcPr>
          <w:p w:rsidR="00000000" w:rsidDel="00000000" w:rsidP="00000000" w:rsidRDefault="00000000" w:rsidRPr="00000000" w14:paraId="00000207">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Tipo de Req.</w:t>
            </w:r>
          </w:p>
        </w:tc>
        <w:tc>
          <w:tcPr>
            <w:shd w:fill="0070c0" w:val="clear"/>
          </w:tcPr>
          <w:p w:rsidR="00000000" w:rsidDel="00000000" w:rsidP="00000000" w:rsidRDefault="00000000" w:rsidRPr="00000000" w14:paraId="00000208">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Descripción del Requerimiento</w:t>
            </w:r>
          </w:p>
        </w:tc>
        <w:tc>
          <w:tcPr>
            <w:shd w:fill="0070c0" w:val="clear"/>
          </w:tcPr>
          <w:p w:rsidR="00000000" w:rsidDel="00000000" w:rsidP="00000000" w:rsidRDefault="00000000" w:rsidRPr="00000000" w14:paraId="00000209">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Decisiones de Arquitectura</w:t>
            </w:r>
          </w:p>
        </w:tc>
      </w:tr>
      <w:tr>
        <w:trPr>
          <w:cantSplit w:val="1"/>
          <w:trHeight w:val="5040" w:hRule="atLeast"/>
          <w:tblHeader w:val="0"/>
        </w:trPr>
        <w:tc>
          <w:tcPr/>
          <w:p w:rsidR="00000000" w:rsidDel="00000000" w:rsidP="00000000" w:rsidRDefault="00000000" w:rsidRPr="00000000" w14:paraId="0000020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RNF-001</w:t>
            </w:r>
          </w:p>
        </w:tc>
        <w:tc>
          <w:tcPr/>
          <w:p w:rsidR="00000000" w:rsidDel="00000000" w:rsidP="00000000" w:rsidRDefault="00000000" w:rsidRPr="00000000" w14:paraId="0000020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Disponibilidad</w:t>
            </w:r>
          </w:p>
        </w:tc>
        <w:tc>
          <w:tcPr/>
          <w:p w:rsidR="00000000" w:rsidDel="00000000" w:rsidP="00000000" w:rsidRDefault="00000000" w:rsidRPr="00000000" w14:paraId="0000020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Capacidad de contar con una plataforma tecnológica robusta que permita dar soporte ininterrumpido a través de las diferentes aplicaciones, API, Servicios y microservicios que se desplegarán en ella.</w:t>
            </w:r>
          </w:p>
        </w:tc>
        <w:tc>
          <w:tcPr/>
          <w:p w:rsidR="00000000" w:rsidDel="00000000" w:rsidP="00000000" w:rsidRDefault="00000000" w:rsidRPr="00000000" w14:paraId="0000020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tiene un parque de plataformas tecnológicas compuesto por fabricantes líderes a nivel mundial. Esto lo coloca en una posición privilegiada teniendo conocimiento de primera mano sobre el rendimiento y limitaciones de las plataformas tecnológicas. En lo que respecta a la característica de disponibilidad las capacidades de las soluciones tecnológicas solo es una parte de la solución, las prácticas del equipo humano detrás de las plataformas hacen también la diferente. Por ello recomendamos habilitación de prácticas SRE (Site Reliability Engineering):</w:t>
            </w:r>
          </w:p>
          <w:p w:rsidR="00000000" w:rsidDel="00000000" w:rsidP="00000000" w:rsidRDefault="00000000" w:rsidRPr="00000000" w14:paraId="0000020E">
            <w:pPr>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20F">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Garantizar la confiabilidad: hacer que los sistemas vuelvan al estado estable lo más rápido posible</w:t>
            </w:r>
          </w:p>
          <w:p w:rsidR="00000000" w:rsidDel="00000000" w:rsidP="00000000" w:rsidRDefault="00000000" w:rsidRPr="00000000" w14:paraId="00000210">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Eliminar el trabajo duro: automatizar siempre que sea posible</w:t>
            </w:r>
          </w:p>
          <w:p w:rsidR="00000000" w:rsidDel="00000000" w:rsidP="00000000" w:rsidRDefault="00000000" w:rsidRPr="00000000" w14:paraId="00000211">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Autopsias sin culpa: impulsando una mejor colaboración entre equipos</w:t>
            </w:r>
          </w:p>
          <w:p w:rsidR="00000000" w:rsidDel="00000000" w:rsidP="00000000" w:rsidRDefault="00000000" w:rsidRPr="00000000" w14:paraId="00000212">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Observar lo que importa: obtener una visibilidad completa del estado del sistema</w:t>
            </w:r>
          </w:p>
          <w:p w:rsidR="00000000" w:rsidDel="00000000" w:rsidP="00000000" w:rsidRDefault="00000000" w:rsidRPr="00000000" w14:paraId="00000213">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Ser proactivo: vivir y respirar SLO para identificar y remediar problemas antes de que se violen los SLA</w:t>
            </w:r>
          </w:p>
          <w:p w:rsidR="00000000" w:rsidDel="00000000" w:rsidP="00000000" w:rsidRDefault="00000000" w:rsidRPr="00000000" w14:paraId="00000214">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Arquitectura para la resiliencia: informar las decisiones de diseño arquitectónico para construir sistemas más confiables</w:t>
            </w:r>
          </w:p>
        </w:tc>
      </w:tr>
      <w:tr>
        <w:trPr>
          <w:cantSplit w:val="1"/>
          <w:trHeight w:val="3600" w:hRule="atLeast"/>
          <w:tblHeader w:val="0"/>
        </w:trPr>
        <w:tc>
          <w:tcPr/>
          <w:p w:rsidR="00000000" w:rsidDel="00000000" w:rsidP="00000000" w:rsidRDefault="00000000" w:rsidRPr="00000000" w14:paraId="0000021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RNF-002</w:t>
            </w:r>
          </w:p>
        </w:tc>
        <w:tc>
          <w:tcPr/>
          <w:p w:rsidR="00000000" w:rsidDel="00000000" w:rsidP="00000000" w:rsidRDefault="00000000" w:rsidRPr="00000000" w14:paraId="0000021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Monitoreo</w:t>
            </w:r>
          </w:p>
        </w:tc>
        <w:tc>
          <w:tcPr/>
          <w:p w:rsidR="00000000" w:rsidDel="00000000" w:rsidP="00000000" w:rsidRDefault="00000000" w:rsidRPr="00000000" w14:paraId="0000021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 requiere la capacidad de auditar los mensajes que hacen parte de una transacción en un servicio de integración. Esta función de auditoría debe estar desacoplada del flujo de ejecución del servicio. Debe tener la capacidad de enmascarar los datos sensibles.</w:t>
            </w:r>
          </w:p>
        </w:tc>
        <w:tc>
          <w:tcPr/>
          <w:p w:rsidR="00000000" w:rsidDel="00000000" w:rsidP="00000000" w:rsidRDefault="00000000" w:rsidRPr="00000000" w14:paraId="0000021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de API en la arquitectura definida debe tener la capacidad de auditar los mensajes de una transacción. Esto puede ser cubierto por dos maneras:</w:t>
              <w:br w:type="textWrapping"/>
              <w:t xml:space="preserve">• En la evaluación de plataformas y/o servicios de API se debe validar que las mismas posean de manera nativa capacidades de traza de mensajes detallados para su posterior análisis. Generalmente, esta opción es cubierta, pero no suele ser muy estructurada la indexación de estos o incluir datos de negocio que pueden ser útiles para su ubicación.</w:t>
            </w:r>
          </w:p>
          <w:p w:rsidR="00000000" w:rsidDel="00000000" w:rsidP="00000000" w:rsidRDefault="00000000" w:rsidRPr="00000000" w14:paraId="0000021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br w:type="textWrapping"/>
              <w:t xml:space="preserve">• Otra alternativa es diseñar un esquema de traza propio que se adecúe a la necesidades de BanCoppel, de esta manera a través de esquemas asíncronos de mensajería (colas y mensajería) se habilitan acciones en el flujo de interés que permita el envío de los mensajes a un repositorio centralizado para su explotación. Esta suele ser la opción preferida de las instituciones por su versatilidad.</w:t>
            </w:r>
          </w:p>
        </w:tc>
      </w:tr>
      <w:tr>
        <w:trPr>
          <w:cantSplit w:val="1"/>
          <w:trHeight w:val="566" w:hRule="atLeast"/>
          <w:tblHeader w:val="0"/>
        </w:trPr>
        <w:tc>
          <w:tcPr/>
          <w:p w:rsidR="00000000" w:rsidDel="00000000" w:rsidP="00000000" w:rsidRDefault="00000000" w:rsidRPr="00000000" w14:paraId="0000021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RNF-003</w:t>
            </w:r>
          </w:p>
        </w:tc>
        <w:tc>
          <w:tcPr/>
          <w:p w:rsidR="00000000" w:rsidDel="00000000" w:rsidP="00000000" w:rsidRDefault="00000000" w:rsidRPr="00000000" w14:paraId="0000021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Monitoreo</w:t>
            </w:r>
          </w:p>
        </w:tc>
        <w:tc>
          <w:tcPr/>
          <w:p w:rsidR="00000000" w:rsidDel="00000000" w:rsidP="00000000" w:rsidRDefault="00000000" w:rsidRPr="00000000" w14:paraId="0000021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 requiere la capacidad de tener trazabilidad de las transacciones de la plataforma de integración.</w:t>
            </w:r>
          </w:p>
        </w:tc>
        <w:tc>
          <w:tcPr/>
          <w:p w:rsidR="00000000" w:rsidDel="00000000" w:rsidP="00000000" w:rsidRDefault="00000000" w:rsidRPr="00000000" w14:paraId="0000021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Esto puede ser resuelto de dos maneras: soporte nativo de las herramientas seleccionadas o personalización. Para una mayor utilidad y mapeo de las transacciones de negocio relevantes, un esquema personalizado es el que entrega mejores resultados. Esto se logra, generando identificadores de transacciones globales que se propaguen en las invocaciones y/u orquestación de la plataforma de API. De esta manera, todos los mensajes distribuidos quedan vinculados a un ID de transacción global permitiendo conocer a detalle el “camino” que ha seguido la transacción. Este tipo de esquemas es muy útil para acortar los tiempos de resolución de incidencias o para cumplimiento normativo en auditorías.</w:t>
            </w:r>
          </w:p>
        </w:tc>
      </w:tr>
      <w:tr>
        <w:trPr>
          <w:cantSplit w:val="1"/>
          <w:trHeight w:val="2160" w:hRule="atLeast"/>
          <w:tblHeader w:val="0"/>
        </w:trPr>
        <w:tc>
          <w:tcPr/>
          <w:p w:rsidR="00000000" w:rsidDel="00000000" w:rsidP="00000000" w:rsidRDefault="00000000" w:rsidRPr="00000000" w14:paraId="0000021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RNF-004</w:t>
            </w:r>
          </w:p>
        </w:tc>
        <w:tc>
          <w:tcPr/>
          <w:p w:rsidR="00000000" w:rsidDel="00000000" w:rsidP="00000000" w:rsidRDefault="00000000" w:rsidRPr="00000000" w14:paraId="0000021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Portabilidad</w:t>
            </w:r>
          </w:p>
        </w:tc>
        <w:tc>
          <w:tcPr/>
          <w:p w:rsidR="00000000" w:rsidDel="00000000" w:rsidP="00000000" w:rsidRDefault="00000000" w:rsidRPr="00000000" w14:paraId="0000022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nueva arquitectura de referencia debe considerar la portabilidad de servicios a otros entornos (datacenter, nube)</w:t>
            </w:r>
          </w:p>
        </w:tc>
        <w:tc>
          <w:tcPr/>
          <w:p w:rsidR="00000000" w:rsidDel="00000000" w:rsidP="00000000" w:rsidRDefault="00000000" w:rsidRPr="00000000" w14:paraId="0000022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visión que se traza de la arquitectura desacoplada se impulsa la utilización de enfoque de API y microservicios basados en estándares. Esto habilita capacidades de portabilidad hacia diferentes entornos. Aunque, por lo general se requieren realizar configuraciones particulares de cada componente. Esto puede simplificarse con algunas herramientas de mercado que funcionan como un PaaS sobre diferentes servicios de nube o datacenter. En el caso de BanCoppel, Red Hat Openshift genera buena prestaciones vinculadas a la Portabilidad.</w:t>
            </w:r>
          </w:p>
        </w:tc>
      </w:tr>
      <w:tr>
        <w:trPr>
          <w:cantSplit w:val="1"/>
          <w:trHeight w:val="1200" w:hRule="atLeast"/>
          <w:tblHeader w:val="0"/>
        </w:trPr>
        <w:tc>
          <w:tcPr/>
          <w:p w:rsidR="00000000" w:rsidDel="00000000" w:rsidP="00000000" w:rsidRDefault="00000000" w:rsidRPr="00000000" w14:paraId="0000022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RNF-005</w:t>
            </w:r>
          </w:p>
        </w:tc>
        <w:tc>
          <w:tcPr/>
          <w:p w:rsidR="00000000" w:rsidDel="00000000" w:rsidP="00000000" w:rsidRDefault="00000000" w:rsidRPr="00000000" w14:paraId="0000022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Seguridad</w:t>
            </w:r>
          </w:p>
        </w:tc>
        <w:tc>
          <w:tcPr/>
          <w:p w:rsidR="00000000" w:rsidDel="00000000" w:rsidP="00000000" w:rsidRDefault="00000000" w:rsidRPr="00000000" w14:paraId="0000022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nueva arquitectura requiere las capacidades de autenticación y autorización a través de esquemas SSO, no solo desde las capas "frontera" sino también entre las diferentes capas que componen la arquitectura.</w:t>
            </w:r>
          </w:p>
        </w:tc>
        <w:tc>
          <w:tcPr/>
          <w:p w:rsidR="00000000" w:rsidDel="00000000" w:rsidP="00000000" w:rsidRDefault="00000000" w:rsidRPr="00000000" w14:paraId="0000022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Todas las plataformas empresariales poseen la capacidad de configurar proveedores de seguridad para las tareas básicas de autenticación/Autorización. Actualmente, en este aspecto, BanCoppel posee implementado Red Hat SSO que permite cubrir este requerimiento, sin embargo esto se deberá alinear a los productos y arquitecturas que la División de Arquitectura defina a nivel grupo.</w:t>
            </w:r>
          </w:p>
        </w:tc>
      </w:tr>
      <w:tr>
        <w:trPr>
          <w:cantSplit w:val="1"/>
          <w:trHeight w:val="761" w:hRule="atLeast"/>
          <w:tblHeader w:val="0"/>
        </w:trPr>
        <w:tc>
          <w:tcPr/>
          <w:p w:rsidR="00000000" w:rsidDel="00000000" w:rsidP="00000000" w:rsidRDefault="00000000" w:rsidRPr="00000000" w14:paraId="0000022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RNF-006</w:t>
            </w:r>
          </w:p>
        </w:tc>
        <w:tc>
          <w:tcPr/>
          <w:p w:rsidR="00000000" w:rsidDel="00000000" w:rsidP="00000000" w:rsidRDefault="00000000" w:rsidRPr="00000000" w14:paraId="0000022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DevSecOps</w:t>
            </w:r>
          </w:p>
        </w:tc>
        <w:tc>
          <w:tcPr/>
          <w:p w:rsidR="00000000" w:rsidDel="00000000" w:rsidP="00000000" w:rsidRDefault="00000000" w:rsidRPr="00000000" w14:paraId="0000022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tecnológica debe ofrecer soporte a prácticas DevSecOps</w:t>
            </w:r>
          </w:p>
        </w:tc>
        <w:tc>
          <w:tcPr/>
          <w:p w:rsidR="00000000" w:rsidDel="00000000" w:rsidP="00000000" w:rsidRDefault="00000000" w:rsidRPr="00000000" w14:paraId="0000022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considera un segmento que establezca los fundamentos de DevSecOps, difunda sus prácticas y establezca los habilitadores tecnológicos que las soporten.</w:t>
            </w:r>
          </w:p>
        </w:tc>
      </w:tr>
      <w:tr>
        <w:trPr>
          <w:cantSplit w:val="1"/>
          <w:trHeight w:val="985" w:hRule="atLeast"/>
          <w:tblHeader w:val="0"/>
        </w:trPr>
        <w:tc>
          <w:tcPr/>
          <w:p w:rsidR="00000000" w:rsidDel="00000000" w:rsidP="00000000" w:rsidRDefault="00000000" w:rsidRPr="00000000" w14:paraId="0000022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RNF-007</w:t>
            </w:r>
          </w:p>
        </w:tc>
        <w:tc>
          <w:tcPr/>
          <w:p w:rsidR="00000000" w:rsidDel="00000000" w:rsidP="00000000" w:rsidRDefault="00000000" w:rsidRPr="00000000" w14:paraId="0000022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2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Considerar separación de responsabilidades de las capas de arquitectura de la plataforma tecnológica</w:t>
            </w:r>
          </w:p>
        </w:tc>
        <w:tc>
          <w:tcPr/>
          <w:p w:rsidR="00000000" w:rsidDel="00000000" w:rsidP="00000000" w:rsidRDefault="00000000" w:rsidRPr="00000000" w14:paraId="0000022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vista de contexto define una vista que se compone de capas y segmentos. Cada uno de ellos tiene una función específica en la arquitectura desacoplada BIAN. </w:t>
            </w:r>
          </w:p>
        </w:tc>
      </w:tr>
      <w:tr>
        <w:trPr>
          <w:cantSplit w:val="1"/>
          <w:trHeight w:val="1200" w:hRule="atLeast"/>
          <w:tblHeader w:val="0"/>
        </w:trPr>
        <w:tc>
          <w:tcPr/>
          <w:p w:rsidR="00000000" w:rsidDel="00000000" w:rsidP="00000000" w:rsidRDefault="00000000" w:rsidRPr="00000000" w14:paraId="0000022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RNF-008</w:t>
            </w:r>
          </w:p>
        </w:tc>
        <w:tc>
          <w:tcPr/>
          <w:p w:rsidR="00000000" w:rsidDel="00000000" w:rsidP="00000000" w:rsidRDefault="00000000" w:rsidRPr="00000000" w14:paraId="0000022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3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tecnológica debe ser capaz de desacoplar reglas de negocio y accederlas a través de un API.</w:t>
            </w:r>
          </w:p>
        </w:tc>
        <w:tc>
          <w:tcPr/>
          <w:p w:rsidR="00000000" w:rsidDel="00000000" w:rsidP="00000000" w:rsidRDefault="00000000" w:rsidRPr="00000000" w14:paraId="0000023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arquitectura definida se define una capa de reglas que habilita la capacidad de desacoplar reglas de negocio y que tenga su propio ciclo de vida y gestión. Los diferentes servicios, aplicaciones y/o procesos podrán interactuar con ellas a través de las API correspondientes.</w:t>
            </w:r>
          </w:p>
        </w:tc>
      </w:tr>
      <w:tr>
        <w:trPr>
          <w:cantSplit w:val="1"/>
          <w:trHeight w:val="1440" w:hRule="atLeast"/>
          <w:tblHeader w:val="0"/>
        </w:trPr>
        <w:tc>
          <w:tcPr/>
          <w:p w:rsidR="00000000" w:rsidDel="00000000" w:rsidP="00000000" w:rsidRDefault="00000000" w:rsidRPr="00000000" w14:paraId="0000023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RNF-009</w:t>
            </w:r>
          </w:p>
        </w:tc>
        <w:tc>
          <w:tcPr/>
          <w:p w:rsidR="00000000" w:rsidDel="00000000" w:rsidP="00000000" w:rsidRDefault="00000000" w:rsidRPr="00000000" w14:paraId="0000023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3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tecnológica debe ser capaz de integrarse con servicios de nube</w:t>
            </w:r>
          </w:p>
        </w:tc>
        <w:tc>
          <w:tcPr/>
          <w:p w:rsidR="00000000" w:rsidDel="00000000" w:rsidP="00000000" w:rsidRDefault="00000000" w:rsidRPr="00000000" w14:paraId="0000023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arquitectura definida se identifican capas de Consumidores y Proveedores que transaccionan a través de la plataforma de integración. Estos servicios de nube jugarán el rol de proveedor o consumidor según corresponda sobre protocolos estándares de comunicación. Esto asegura la interoperabilidad con servicios de nube.</w:t>
            </w:r>
          </w:p>
        </w:tc>
      </w:tr>
      <w:tr>
        <w:trPr>
          <w:cantSplit w:val="1"/>
          <w:trHeight w:val="1200" w:hRule="atLeast"/>
          <w:tblHeader w:val="0"/>
        </w:trPr>
        <w:tc>
          <w:tcPr/>
          <w:p w:rsidR="00000000" w:rsidDel="00000000" w:rsidP="00000000" w:rsidRDefault="00000000" w:rsidRPr="00000000" w14:paraId="0000023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RNF-010</w:t>
            </w:r>
          </w:p>
        </w:tc>
        <w:tc>
          <w:tcPr/>
          <w:p w:rsidR="00000000" w:rsidDel="00000000" w:rsidP="00000000" w:rsidRDefault="00000000" w:rsidRPr="00000000" w14:paraId="0000023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3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servicios de integración que manejen transacciones distribuidas o compongan un proceso deben ser capaces de mantener información de estado entre diferentes solicitudes de ejecución.</w:t>
            </w:r>
          </w:p>
        </w:tc>
        <w:tc>
          <w:tcPr/>
          <w:p w:rsidR="00000000" w:rsidDel="00000000" w:rsidP="00000000" w:rsidRDefault="00000000" w:rsidRPr="00000000" w14:paraId="0000023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realizada, las coreografías y API de negocio son las que cubren las funciones de orquestación y persistencia de estados. Estas API son la interfaz a </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micro</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servicios con la capacidad de gestionar su ciclo de ejecución de manera completa. </w:t>
            </w:r>
          </w:p>
        </w:tc>
      </w:tr>
      <w:tr>
        <w:trPr>
          <w:cantSplit w:val="1"/>
          <w:trHeight w:val="2160" w:hRule="atLeast"/>
          <w:tblHeader w:val="0"/>
        </w:trPr>
        <w:tc>
          <w:tcPr/>
          <w:p w:rsidR="00000000" w:rsidDel="00000000" w:rsidP="00000000" w:rsidRDefault="00000000" w:rsidRPr="00000000" w14:paraId="0000023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RNF-011</w:t>
            </w:r>
          </w:p>
        </w:tc>
        <w:tc>
          <w:tcPr/>
          <w:p w:rsidR="00000000" w:rsidDel="00000000" w:rsidP="00000000" w:rsidRDefault="00000000" w:rsidRPr="00000000" w14:paraId="0000023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3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invocación de servicios desde los procesos y coreografías de negocio y aplicaciones</w:t>
            </w:r>
          </w:p>
        </w:tc>
        <w:tc>
          <w:tcPr/>
          <w:p w:rsidR="00000000" w:rsidDel="00000000" w:rsidP="00000000" w:rsidRDefault="00000000" w:rsidRPr="00000000" w14:paraId="0000023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establecen lineamientos para la invocación de API.  Desde las capas de “Aplicaciones consumidoras” se define acceso permitido a:</w:t>
              <w:br w:type="textWrapping"/>
              <w:t xml:space="preserve">• API de recepción y API de negocio</w:t>
            </w:r>
          </w:p>
          <w:p w:rsidR="00000000" w:rsidDel="00000000" w:rsidP="00000000" w:rsidRDefault="00000000" w:rsidRPr="00000000" w14:paraId="0000023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Suscribirse a “tópicos” para capturar eventos de interés</w:t>
              <w:br w:type="textWrapping"/>
              <w:t xml:space="preserve">También se define acceso restringido a esquemas de gestión de archivos, sólo</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cuando la factibilidad técnica y económica no haga viable su implementación a través de API. Estas son decisiones que debe abordar la Junta de arquitectura.</w:t>
            </w:r>
          </w:p>
        </w:tc>
      </w:tr>
      <w:tr>
        <w:trPr>
          <w:cantSplit w:val="1"/>
          <w:trHeight w:val="1440" w:hRule="atLeast"/>
          <w:tblHeader w:val="0"/>
        </w:trPr>
        <w:tc>
          <w:tcPr/>
          <w:p w:rsidR="00000000" w:rsidDel="00000000" w:rsidP="00000000" w:rsidRDefault="00000000" w:rsidRPr="00000000" w14:paraId="0000023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RNF-012</w:t>
            </w:r>
          </w:p>
        </w:tc>
        <w:tc>
          <w:tcPr/>
          <w:p w:rsidR="00000000" w:rsidDel="00000000" w:rsidP="00000000" w:rsidRDefault="00000000" w:rsidRPr="00000000" w14:paraId="0000024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4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invocación de reglas desde los procesos, coreografías de negocio y aplicaciones</w:t>
            </w:r>
          </w:p>
        </w:tc>
        <w:tc>
          <w:tcPr/>
          <w:p w:rsidR="00000000" w:rsidDel="00000000" w:rsidP="00000000" w:rsidRDefault="00000000" w:rsidRPr="00000000" w14:paraId="0000024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establece una relación de uso permitida de reglas de negocio desde las API de negocio. Estas API son las que implementan lógicas de negocio orquestando API proxy y microservicios, por este motivo es el ámbito propicio para la evaluación de reglas de negocio que pudieran determinar el comportamiento del flujo orquestado.</w:t>
            </w:r>
          </w:p>
        </w:tc>
      </w:tr>
      <w:tr>
        <w:trPr>
          <w:cantSplit w:val="1"/>
          <w:trHeight w:val="4080" w:hRule="atLeast"/>
          <w:tblHeader w:val="0"/>
        </w:trPr>
        <w:tc>
          <w:tcPr/>
          <w:p w:rsidR="00000000" w:rsidDel="00000000" w:rsidP="00000000" w:rsidRDefault="00000000" w:rsidRPr="00000000" w14:paraId="0000024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RNF-013</w:t>
            </w:r>
          </w:p>
        </w:tc>
        <w:tc>
          <w:tcPr/>
          <w:p w:rsidR="00000000" w:rsidDel="00000000" w:rsidP="00000000" w:rsidRDefault="00000000" w:rsidRPr="00000000" w14:paraId="0000024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4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esquema de acceso a Sistemas de Registros de datos estructurados (Bases de datos relacionales y no relacionales)</w:t>
            </w:r>
          </w:p>
        </w:tc>
        <w:tc>
          <w:tcPr/>
          <w:p w:rsidR="00000000" w:rsidDel="00000000" w:rsidP="00000000" w:rsidRDefault="00000000" w:rsidRPr="00000000" w14:paraId="0000024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 acceso a bases de datos se analiza desde tres escenarios:</w:t>
              <w:br w:type="textWrapping"/>
              <w:t xml:space="preserve">• Un escenario operativo-transaccional que está principalmente dado por las aplicaciones de negocio y de soporte de BanCoppel. En este escenario el acceso a bases de datos se realiza a través de las API proxy. Estas API funcionan como una fachada a diferentes aplicaciones y/o bases de datos.</w:t>
            </w:r>
          </w:p>
          <w:p w:rsidR="00000000" w:rsidDel="00000000" w:rsidP="00000000" w:rsidRDefault="00000000" w:rsidRPr="00000000" w14:paraId="0000024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Un escenario de movilización de grandes volúmenes de datos a repositorios para su análisis. En este escenario el acceso a las bases de datos es realizado por flujos ETL a través de adaptadores nativos y optimizados para grandes cargas de información.</w:t>
            </w:r>
          </w:p>
          <w:p w:rsidR="00000000" w:rsidDel="00000000" w:rsidP="00000000" w:rsidRDefault="00000000" w:rsidRPr="00000000" w14:paraId="0000024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Un escenario de acceso a través de un hub de datos que exponga datos homologados y confiables y que se constituya en una capa de abstracción para ocultar las complejidades de las bases de datos transaccionales. Este hub de datos se sincroniza con los sistemas de registro a través de eventos con esquemas de tipo CDC (Change Data Capture) y/o a través de canales de streaming de datos.</w:t>
            </w:r>
          </w:p>
        </w:tc>
      </w:tr>
      <w:tr>
        <w:trPr>
          <w:cantSplit w:val="1"/>
          <w:trHeight w:val="905" w:hRule="atLeast"/>
          <w:tblHeader w:val="0"/>
        </w:trPr>
        <w:tc>
          <w:tcPr/>
          <w:p w:rsidR="00000000" w:rsidDel="00000000" w:rsidP="00000000" w:rsidRDefault="00000000" w:rsidRPr="00000000" w14:paraId="0000024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RNF-014</w:t>
            </w:r>
          </w:p>
        </w:tc>
        <w:tc>
          <w:tcPr/>
          <w:p w:rsidR="00000000" w:rsidDel="00000000" w:rsidP="00000000" w:rsidRDefault="00000000" w:rsidRPr="00000000" w14:paraId="0000024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4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integración a sistemas legados </w:t>
            </w:r>
          </w:p>
        </w:tc>
        <w:tc>
          <w:tcPr/>
          <w:p w:rsidR="00000000" w:rsidDel="00000000" w:rsidP="00000000" w:rsidRDefault="00000000" w:rsidRPr="00000000" w14:paraId="0000024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 acceso a sistemas legados se debe realizar a través de las API proxy. Estas API permiten la homologación del acceso a las diferentes aplicaciones y sistemas de BanCoppel.</w:t>
            </w:r>
          </w:p>
        </w:tc>
      </w:tr>
      <w:tr>
        <w:trPr>
          <w:cantSplit w:val="1"/>
          <w:trHeight w:val="1200" w:hRule="atLeast"/>
          <w:tblHeader w:val="0"/>
        </w:trPr>
        <w:tc>
          <w:tcPr/>
          <w:p w:rsidR="00000000" w:rsidDel="00000000" w:rsidP="00000000" w:rsidRDefault="00000000" w:rsidRPr="00000000" w14:paraId="0000024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RNF-015</w:t>
            </w:r>
          </w:p>
        </w:tc>
        <w:tc>
          <w:tcPr/>
          <w:p w:rsidR="00000000" w:rsidDel="00000000" w:rsidP="00000000" w:rsidRDefault="00000000" w:rsidRPr="00000000" w14:paraId="0000024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4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integración al sistema Core</w:t>
            </w:r>
          </w:p>
        </w:tc>
        <w:tc>
          <w:tcPr/>
          <w:p w:rsidR="00000000" w:rsidDel="00000000" w:rsidP="00000000" w:rsidRDefault="00000000" w:rsidRPr="00000000" w14:paraId="0000025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establece que la interacción puede ser a través de API Proxy o a través de un esquema de eventos. Esto depende de las capacidades de interoperabilidad que ofrezca el sistema Core.</w:t>
            </w:r>
          </w:p>
        </w:tc>
      </w:tr>
      <w:tr>
        <w:trPr>
          <w:cantSplit w:val="1"/>
          <w:trHeight w:val="1200" w:hRule="atLeast"/>
          <w:tblHeader w:val="0"/>
        </w:trPr>
        <w:tc>
          <w:tcPr/>
          <w:p w:rsidR="00000000" w:rsidDel="00000000" w:rsidP="00000000" w:rsidRDefault="00000000" w:rsidRPr="00000000" w14:paraId="0000025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RNF-016</w:t>
            </w:r>
          </w:p>
        </w:tc>
        <w:tc>
          <w:tcPr/>
          <w:p w:rsidR="00000000" w:rsidDel="00000000" w:rsidP="00000000" w:rsidRDefault="00000000" w:rsidRPr="00000000" w14:paraId="0000025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5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integración a servicios externos (servicios que son consumidos por BanCoppel y pertenecen a otras instituciones)</w:t>
            </w:r>
          </w:p>
        </w:tc>
        <w:tc>
          <w:tcPr/>
          <w:p w:rsidR="00000000" w:rsidDel="00000000" w:rsidP="00000000" w:rsidRDefault="00000000" w:rsidRPr="00000000" w14:paraId="0000025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 acceso a servicios externos se debe realizar a través de las API proxy. De esta manera, se estandariza el acceso a servicios externos favoreciendo su gobernabilidad.</w:t>
            </w:r>
          </w:p>
        </w:tc>
      </w:tr>
      <w:tr>
        <w:trPr>
          <w:cantSplit w:val="1"/>
          <w:trHeight w:val="1440" w:hRule="atLeast"/>
          <w:tblHeader w:val="0"/>
        </w:trPr>
        <w:tc>
          <w:tcPr/>
          <w:p w:rsidR="00000000" w:rsidDel="00000000" w:rsidP="00000000" w:rsidRDefault="00000000" w:rsidRPr="00000000" w14:paraId="0000025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RNF-017</w:t>
            </w:r>
          </w:p>
        </w:tc>
        <w:tc>
          <w:tcPr/>
          <w:p w:rsidR="00000000" w:rsidDel="00000000" w:rsidP="00000000" w:rsidRDefault="00000000" w:rsidRPr="00000000" w14:paraId="0000025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5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integración desde aplicaciones externas (servicios que son consumidos por otras instituciones y pertenecen a BanCoppel)</w:t>
            </w:r>
          </w:p>
        </w:tc>
        <w:tc>
          <w:tcPr/>
          <w:p w:rsidR="00000000" w:rsidDel="00000000" w:rsidP="00000000" w:rsidRDefault="00000000" w:rsidRPr="00000000" w14:paraId="0000025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 que terceros accedan desde el exterior</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a servicios de BanCoppel, se debe habilitar un portal de API para BanCoppel. Desde este portal, se tendrá acceso al catálogo de API públicas de BanCoppel. Gestionando el acceso de seguridad correspondiente, entidades externas, podrán integrar sus procesos a las API de BanCoppel, generando verdaderos ecosistemas colaborativos.</w:t>
            </w:r>
          </w:p>
        </w:tc>
      </w:tr>
      <w:tr>
        <w:trPr>
          <w:cantSplit w:val="1"/>
          <w:trHeight w:val="1200" w:hRule="atLeast"/>
          <w:tblHeader w:val="0"/>
        </w:trPr>
        <w:tc>
          <w:tcPr/>
          <w:p w:rsidR="00000000" w:rsidDel="00000000" w:rsidP="00000000" w:rsidRDefault="00000000" w:rsidRPr="00000000" w14:paraId="0000025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RNF-018</w:t>
            </w:r>
          </w:p>
        </w:tc>
        <w:tc>
          <w:tcPr/>
          <w:p w:rsidR="00000000" w:rsidDel="00000000" w:rsidP="00000000" w:rsidRDefault="00000000" w:rsidRPr="00000000" w14:paraId="0000025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5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de integración debe brindar capacidades de orquestación y coreografía de servicios</w:t>
            </w:r>
          </w:p>
        </w:tc>
        <w:tc>
          <w:tcPr/>
          <w:p w:rsidR="00000000" w:rsidDel="00000000" w:rsidP="00000000" w:rsidRDefault="00000000" w:rsidRPr="00000000" w14:paraId="0000025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definida, las capacidades de orquestación y coreografía de servicios corresponden</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a las coreografías y API de Negocio. Estos segmentos pueden brindar estas capacidades a través de frameworks de gestión de flujos o service mesh en caso de microservicios.</w:t>
            </w:r>
          </w:p>
        </w:tc>
      </w:tr>
      <w:tr>
        <w:trPr>
          <w:cantSplit w:val="1"/>
          <w:trHeight w:val="3360" w:hRule="atLeast"/>
          <w:tblHeader w:val="0"/>
        </w:trPr>
        <w:tc>
          <w:tcPr/>
          <w:p w:rsidR="00000000" w:rsidDel="00000000" w:rsidP="00000000" w:rsidRDefault="00000000" w:rsidRPr="00000000" w14:paraId="0000025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RNF-019</w:t>
            </w:r>
          </w:p>
        </w:tc>
        <w:tc>
          <w:tcPr/>
          <w:p w:rsidR="00000000" w:rsidDel="00000000" w:rsidP="00000000" w:rsidRDefault="00000000" w:rsidRPr="00000000" w14:paraId="0000025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5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 requiere la capacidad de sincronizar datos de aplicaciones cuando se produzca algún cambio en las bases de maestros</w:t>
            </w:r>
          </w:p>
        </w:tc>
        <w:tc>
          <w:tcPr/>
          <w:p w:rsidR="00000000" w:rsidDel="00000000" w:rsidP="00000000" w:rsidRDefault="00000000" w:rsidRPr="00000000" w14:paraId="0000026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Identificando los flujos de datos que deben sincronizarse entre las bases “Maestras” y los sistemas satélites se puede configurar un esquema de eventos que ayude a propagar los cambios realizados al resto de la organización.</w:t>
              <w:br w:type="textWrapping"/>
              <w:t xml:space="preserve">Para ello deben cubrirse los siguientes aspectos:</w:t>
              <w:br w:type="textWrapping"/>
              <w:t xml:space="preserve">• Descubrir los flujos de eventos y sus relaciones</w:t>
              <w:br w:type="textWrapping"/>
              <w:t xml:space="preserve">• Definir los casos de uso, disparadores de los eventos (Publicadores) y sus condiciones, los consumidores de los eventos (suscriptores) y su comportamiento.</w:t>
              <w:br w:type="textWrapping"/>
              <w:t xml:space="preserve">• Desarrollar las integraciones entre los productores y suscriptores a la plataforma de eventos. Implementar la lógica de procesamiento del evento que hará el suscriptor.</w:t>
              <w:br w:type="textWrapping"/>
              <w:t xml:space="preserve">• Operar aspectos de seguridad, monitoreo y auditoría respecto a los flujos de eventos implementados.</w:t>
            </w:r>
          </w:p>
        </w:tc>
      </w:tr>
      <w:tr>
        <w:trPr>
          <w:cantSplit w:val="1"/>
          <w:trHeight w:val="1200" w:hRule="atLeast"/>
          <w:tblHeader w:val="0"/>
        </w:trPr>
        <w:tc>
          <w:tcPr/>
          <w:p w:rsidR="00000000" w:rsidDel="00000000" w:rsidP="00000000" w:rsidRDefault="00000000" w:rsidRPr="00000000" w14:paraId="0000026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RNF-020</w:t>
            </w:r>
          </w:p>
        </w:tc>
        <w:tc>
          <w:tcPr/>
          <w:p w:rsidR="00000000" w:rsidDel="00000000" w:rsidP="00000000" w:rsidRDefault="00000000" w:rsidRPr="00000000" w14:paraId="0000026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6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 requiere la capacidad de que aplicaciones se puedan suscribir a tópicos de interés y que sean notificadas cuando el mismo ocurra</w:t>
            </w:r>
          </w:p>
        </w:tc>
        <w:tc>
          <w:tcPr/>
          <w:p w:rsidR="00000000" w:rsidDel="00000000" w:rsidP="00000000" w:rsidRDefault="00000000" w:rsidRPr="00000000" w14:paraId="0000026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Una vez que existan los diferentes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canales de tópicos específicos vinculados a eventos de interés. A través de Event-Driven API las aplicaciones interesadas (internas o externas) pueden suscribirse para recibir las notificaciones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de los eventos de interés.</w:t>
            </w:r>
          </w:p>
        </w:tc>
      </w:tr>
      <w:tr>
        <w:trPr>
          <w:cantSplit w:val="1"/>
          <w:trHeight w:val="1440" w:hRule="atLeast"/>
          <w:tblHeader w:val="0"/>
        </w:trPr>
        <w:tc>
          <w:tcPr/>
          <w:p w:rsidR="00000000" w:rsidDel="00000000" w:rsidP="00000000" w:rsidRDefault="00000000" w:rsidRPr="00000000" w14:paraId="0000026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RNF-021</w:t>
            </w:r>
          </w:p>
        </w:tc>
        <w:tc>
          <w:tcPr/>
          <w:p w:rsidR="00000000" w:rsidDel="00000000" w:rsidP="00000000" w:rsidRDefault="00000000" w:rsidRPr="00000000" w14:paraId="0000026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6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 requiere la capacidad de integrar muchas aplicaciones en tiempo real (o near real time) sin generar un fuerte acoplamiento entre ellas</w:t>
            </w:r>
          </w:p>
        </w:tc>
        <w:tc>
          <w:tcPr/>
          <w:p w:rsidR="00000000" w:rsidDel="00000000" w:rsidP="00000000" w:rsidRDefault="00000000" w:rsidRPr="00000000" w14:paraId="0000026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Debe privilegiarse una integración a través de eventos en tiempo real sobre integración por lotes en archivos. De esta manera, puede producir mejoras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en la calidad de la información consultada por los diferentes interesados en BanCoppel, como así también acortar el tiempo de las ventanas operativas destinadas actualmente al procesamiento de los lotes de archivo.</w:t>
            </w:r>
          </w:p>
        </w:tc>
      </w:tr>
      <w:tr>
        <w:trPr>
          <w:cantSplit w:val="1"/>
          <w:trHeight w:val="1440" w:hRule="atLeast"/>
          <w:tblHeader w:val="0"/>
        </w:trPr>
        <w:tc>
          <w:tcPr/>
          <w:p w:rsidR="00000000" w:rsidDel="00000000" w:rsidP="00000000" w:rsidRDefault="00000000" w:rsidRPr="00000000" w14:paraId="0000026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RNF-022</w:t>
            </w:r>
          </w:p>
        </w:tc>
        <w:tc>
          <w:tcPr/>
          <w:p w:rsidR="00000000" w:rsidDel="00000000" w:rsidP="00000000" w:rsidRDefault="00000000" w:rsidRPr="00000000" w14:paraId="0000026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6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tecnológica debe habilitar la capacidad de desacoplar en componentes (API / servicios / microservicios /reglas) funciones de aplicaciones backend y sistemas core para generar soluciones con mayor agilidad</w:t>
            </w:r>
          </w:p>
        </w:tc>
        <w:tc>
          <w:tcPr/>
          <w:p w:rsidR="00000000" w:rsidDel="00000000" w:rsidP="00000000" w:rsidRDefault="00000000" w:rsidRPr="00000000" w14:paraId="0000026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aprecia un enfoque hacia API, microservicios y eventos que habilitan capacidades técnicas de desacoplamiento.  Esto debe ir acompañado de un marco de gobierno que establezca técnicas para el desacoplamiento funcional de las soluciones basadas en patrones diseño guiado por dominios (Domain Driven Design).</w:t>
            </w:r>
          </w:p>
        </w:tc>
      </w:tr>
      <w:tr>
        <w:trPr>
          <w:cantSplit w:val="1"/>
          <w:trHeight w:val="1920" w:hRule="atLeast"/>
          <w:tblHeader w:val="0"/>
        </w:trPr>
        <w:tc>
          <w:tcPr/>
          <w:p w:rsidR="00000000" w:rsidDel="00000000" w:rsidP="00000000" w:rsidRDefault="00000000" w:rsidRPr="00000000" w14:paraId="0000026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RNF-023</w:t>
            </w:r>
          </w:p>
        </w:tc>
        <w:tc>
          <w:tcPr/>
          <w:p w:rsidR="00000000" w:rsidDel="00000000" w:rsidP="00000000" w:rsidRDefault="00000000" w:rsidRPr="00000000" w14:paraId="0000026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6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Proveer mecanismos para poder ubicar o localizar el impacto de cualquier cambio que se produzca dentro de los módulos de Aplicación</w:t>
            </w:r>
          </w:p>
        </w:tc>
        <w:tc>
          <w:tcPr/>
          <w:p w:rsidR="00000000" w:rsidDel="00000000" w:rsidP="00000000" w:rsidRDefault="00000000" w:rsidRPr="00000000" w14:paraId="0000027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 cubrir este requerimiento es necesario contar con una herramienta de arquitectura que ayude a gestionar el repositorio. Esta herramienta es clave para la gestión del descubrimiento y diseño de API, servicios y demás componentes de una arquitectura de integración. Estableciendo una función de arquitectura robusta acompañando el ciclo de vida de las integraciones permite realizar análisis de impacto ante algún cambio o contingencia que deba atenderse. </w:t>
            </w:r>
          </w:p>
        </w:tc>
      </w:tr>
      <w:tr>
        <w:trPr>
          <w:cantSplit w:val="1"/>
          <w:trHeight w:val="4320" w:hRule="atLeast"/>
          <w:tblHeader w:val="0"/>
        </w:trPr>
        <w:tc>
          <w:tcPr/>
          <w:p w:rsidR="00000000" w:rsidDel="00000000" w:rsidP="00000000" w:rsidRDefault="00000000" w:rsidRPr="00000000" w14:paraId="0000027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RNF-024</w:t>
            </w:r>
          </w:p>
        </w:tc>
        <w:tc>
          <w:tcPr/>
          <w:p w:rsidR="00000000" w:rsidDel="00000000" w:rsidP="00000000" w:rsidRDefault="00000000" w:rsidRPr="00000000" w14:paraId="0000027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7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Parametrización dinámica de módulos de Aplicaciones Propias, Aplicaciones Terceras y Procesos Automatizados</w:t>
            </w:r>
          </w:p>
        </w:tc>
        <w:tc>
          <w:tcPr/>
          <w:p w:rsidR="00000000" w:rsidDel="00000000" w:rsidP="00000000" w:rsidRDefault="00000000" w:rsidRPr="00000000" w14:paraId="0000027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Parámetros de negocio como tiempos de vencimiento, valores máximos, límites superiores o inferiores, tablas de decisión, etc. son establecidos dinámicamente en tiempo de ejecución a través de modelos de decisón o reglas de negocio expuestas por plataformas de tipo DMS (Decision Management Suite).</w:t>
            </w:r>
          </w:p>
          <w:p w:rsidR="00000000" w:rsidDel="00000000" w:rsidP="00000000" w:rsidRDefault="00000000" w:rsidRPr="00000000" w14:paraId="0000027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Reduce la necesidad de versionamiento de aplicaciones propias, aplicaciones terceros y procesos de negocio automatizados y/o procesos automáticos que orquesten servicios, mejorando la mantenibilidad de las soluciones.</w:t>
            </w:r>
          </w:p>
          <w:p w:rsidR="00000000" w:rsidDel="00000000" w:rsidP="00000000" w:rsidRDefault="00000000" w:rsidRPr="00000000" w14:paraId="0000027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Le da valor al negocio porque cualquier cambio en los parámetros de negocio de estas soluciones no dependen totalmente de personal de TI y se puede realizar a demanda del negocio, reduciendo tiempos y costos. </w:t>
            </w:r>
          </w:p>
          <w:p w:rsidR="00000000" w:rsidDel="00000000" w:rsidP="00000000" w:rsidRDefault="00000000" w:rsidRPr="00000000" w14:paraId="0000027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dinamicidad y flexibilidad de las soluciones se beneficia porque los modelos de reglas de negocio utilizadas pueden ser cambiadas cuando sea necesario a través de una aplicación que provee el DMS utilizado.</w:t>
            </w:r>
          </w:p>
        </w:tc>
      </w:tr>
      <w:tr>
        <w:trPr>
          <w:cantSplit w:val="1"/>
          <w:trHeight w:val="1200" w:hRule="atLeast"/>
          <w:tblHeader w:val="0"/>
        </w:trPr>
        <w:tc>
          <w:tcPr/>
          <w:p w:rsidR="00000000" w:rsidDel="00000000" w:rsidP="00000000" w:rsidRDefault="00000000" w:rsidRPr="00000000" w14:paraId="0000027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RNF-025</w:t>
            </w:r>
          </w:p>
        </w:tc>
        <w:tc>
          <w:tcPr/>
          <w:p w:rsidR="00000000" w:rsidDel="00000000" w:rsidP="00000000" w:rsidRDefault="00000000" w:rsidRPr="00000000" w14:paraId="0000027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7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solución contempla varias capas de componentes. Es necesario catalogar correctamente estos componentes y gestionar su ciclo de vida.</w:t>
            </w:r>
          </w:p>
        </w:tc>
        <w:tc>
          <w:tcPr/>
          <w:p w:rsidR="00000000" w:rsidDel="00000000" w:rsidP="00000000" w:rsidRDefault="00000000" w:rsidRPr="00000000" w14:paraId="0000027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el marco de gobierno se establece la taxonomía de componentes, el proceso de gestión de ciclo de vida y los metadatos que forman parte del catálogo de estos. </w:t>
            </w:r>
          </w:p>
        </w:tc>
      </w:tr>
      <w:tr>
        <w:trPr>
          <w:cantSplit w:val="1"/>
          <w:trHeight w:val="1200" w:hRule="atLeast"/>
          <w:tblHeader w:val="0"/>
        </w:trPr>
        <w:tc>
          <w:tcPr/>
          <w:p w:rsidR="00000000" w:rsidDel="00000000" w:rsidP="00000000" w:rsidRDefault="00000000" w:rsidRPr="00000000" w14:paraId="0000027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RNF-026</w:t>
            </w:r>
          </w:p>
        </w:tc>
        <w:tc>
          <w:tcPr/>
          <w:p w:rsidR="00000000" w:rsidDel="00000000" w:rsidP="00000000" w:rsidRDefault="00000000" w:rsidRPr="00000000" w14:paraId="0000027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7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Evitar la creación de nuevas integraciones aisladas fuera de la plataforma de tecnológica de referencia</w:t>
            </w:r>
          </w:p>
        </w:tc>
        <w:tc>
          <w:tcPr/>
          <w:p w:rsidR="00000000" w:rsidDel="00000000" w:rsidP="00000000" w:rsidRDefault="00000000" w:rsidRPr="00000000" w14:paraId="0000027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esta vista de contexto se establecen las capas y segmentos de la arquitectura de integración indicando si las relaciones entre las mismas son permitidas o restringidas. Esto sirve de lineamiento para el diseño de soluciones. Se recomienda redactar una política para reforzar su cumplimiento.</w:t>
            </w:r>
          </w:p>
        </w:tc>
      </w:tr>
      <w:tr>
        <w:trPr>
          <w:cantSplit w:val="1"/>
          <w:trHeight w:val="566" w:hRule="atLeast"/>
          <w:tblHeader w:val="0"/>
        </w:trPr>
        <w:tc>
          <w:tcPr/>
          <w:p w:rsidR="00000000" w:rsidDel="00000000" w:rsidP="00000000" w:rsidRDefault="00000000" w:rsidRPr="00000000" w14:paraId="0000028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RNF-027</w:t>
            </w:r>
          </w:p>
        </w:tc>
        <w:tc>
          <w:tcPr/>
          <w:p w:rsidR="00000000" w:rsidDel="00000000" w:rsidP="00000000" w:rsidRDefault="00000000" w:rsidRPr="00000000" w14:paraId="0000028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8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tecnológica debe minimizar el uso de archivos para la integración entre aplicaciones y/o terceros para soportar los procesos de negocio y productos digitales.</w:t>
            </w:r>
          </w:p>
        </w:tc>
        <w:tc>
          <w:tcPr/>
          <w:p w:rsidR="00000000" w:rsidDel="00000000" w:rsidP="00000000" w:rsidRDefault="00000000" w:rsidRPr="00000000" w14:paraId="0000028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esta vista de contexto se indica que la gestión por archivos para integración de aplicaciones es “restringida” a los casos en los que la junta de arquitectura crea conveniente. Para impulsar esta iniciativa</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es importante habilitar las capacidades técnicas de una plataforma de integración moderna, acompañado por los lineamientos y política adecuadas para reforzar la importancia de disminuir la integración por lotes en el día a día. Sin embargo, es indiscutible que por varios años más la integración por archivos se mantendrá vigente para soportar las integraciones “legadas” actuales. En este aspecto se recomienda inventariar las mismas y analizar la factibilidad de modernizarlas de manera incremental acorde a las prioridades de negocio de BanCoppel</w:t>
            </w:r>
          </w:p>
        </w:tc>
      </w:tr>
      <w:tr>
        <w:trPr>
          <w:cantSplit w:val="1"/>
          <w:trHeight w:val="3360" w:hRule="atLeast"/>
          <w:tblHeader w:val="0"/>
        </w:trPr>
        <w:tc>
          <w:tcPr/>
          <w:p w:rsidR="00000000" w:rsidDel="00000000" w:rsidP="00000000" w:rsidRDefault="00000000" w:rsidRPr="00000000" w14:paraId="0000028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RNF-028</w:t>
            </w:r>
          </w:p>
        </w:tc>
        <w:tc>
          <w:tcPr/>
          <w:p w:rsidR="00000000" w:rsidDel="00000000" w:rsidP="00000000" w:rsidRDefault="00000000" w:rsidRPr="00000000" w14:paraId="0000028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8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Cada producto nuevo que se genere en los equipos de trabajo debe integrarse de manera sencilla y estándar con la plataforma tecnológica de referencia</w:t>
            </w:r>
          </w:p>
        </w:tc>
        <w:tc>
          <w:tcPr/>
          <w:p w:rsidR="00000000" w:rsidDel="00000000" w:rsidP="00000000" w:rsidRDefault="00000000" w:rsidRPr="00000000" w14:paraId="0000028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un punto de vista técnica, en la vista de contexto se establecen 4 escenarios base para la gestión de integraciones: </w:t>
              <w:br w:type="textWrapping"/>
              <w:t xml:space="preserve">•Integración a través de peticiones (invocación de API)</w:t>
              <w:br w:type="textWrapping"/>
              <w:t xml:space="preserve">•Integración a través de eventos (publish-suscribe)</w:t>
              <w:br w:type="textWrapping"/>
              <w:t xml:space="preserve">•Integración por lotes (archivos / ETL)</w:t>
              <w:br w:type="textWrapping"/>
              <w:t xml:space="preserve">•Integración por robots (automatización por RPA)</w:t>
              <w:br w:type="textWrapping"/>
              <w:t xml:space="preserve">Estos 4 escenarios base permiten</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homologar y simplificar las integraciones de los productos que generan</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los diferentes equipos de trabajo de BanCoppel.</w:t>
              <w:br w:type="textWrapping"/>
              <w:t xml:space="preserve">Pero además existe una normalización semántica dada por el modelo de información de BIAN y los dominios de servicio. Concebir la implementación de un escenario de negocio a través de coreografías de dominios de servicios establece un esquema robusto para la interacción de los diferentes equipos de trabajo.</w:t>
            </w:r>
          </w:p>
        </w:tc>
      </w:tr>
      <w:tr>
        <w:trPr>
          <w:cantSplit w:val="1"/>
          <w:trHeight w:val="2400" w:hRule="atLeast"/>
          <w:tblHeader w:val="0"/>
        </w:trPr>
        <w:tc>
          <w:tcPr/>
          <w:p w:rsidR="00000000" w:rsidDel="00000000" w:rsidP="00000000" w:rsidRDefault="00000000" w:rsidRPr="00000000" w14:paraId="0000028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RNF-029</w:t>
            </w:r>
          </w:p>
        </w:tc>
        <w:tc>
          <w:tcPr/>
          <w:p w:rsidR="00000000" w:rsidDel="00000000" w:rsidP="00000000" w:rsidRDefault="00000000" w:rsidRPr="00000000" w14:paraId="0000028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8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Proveer mecanismos de encapsulación de información y comportamiento por entidad de negocio </w:t>
            </w:r>
          </w:p>
        </w:tc>
        <w:tc>
          <w:tcPr/>
          <w:p w:rsidR="00000000" w:rsidDel="00000000" w:rsidP="00000000" w:rsidRDefault="00000000" w:rsidRPr="00000000" w14:paraId="0000028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 lograr encapsulación de información y comportamiento se debe incursionar en técnicas de diseño de modelos ontológicos que organicen los conceptos de negocio y sus relaciones. Este modelo permite descubrir dominios (y subdominios) de negocio que es un insumo necesario para la aplicación del patrón DDD (Domain Driven Design), punto de partida para encapsular información y comportamientos. El modelo de información de BIAN (BOM) es el marco de referencia que habilita esta organización.</w:t>
              <w:br w:type="textWrapping"/>
              <w:t xml:space="preserve">En el marco de gobierno se debe describir la aplicación de técnicas de desacoplamiento.</w:t>
            </w:r>
          </w:p>
        </w:tc>
      </w:tr>
      <w:tr>
        <w:trPr>
          <w:cantSplit w:val="1"/>
          <w:trHeight w:val="1200" w:hRule="atLeast"/>
          <w:tblHeader w:val="0"/>
        </w:trPr>
        <w:tc>
          <w:tcPr/>
          <w:p w:rsidR="00000000" w:rsidDel="00000000" w:rsidP="00000000" w:rsidRDefault="00000000" w:rsidRPr="00000000" w14:paraId="0000028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RNF-030</w:t>
            </w:r>
          </w:p>
        </w:tc>
        <w:tc>
          <w:tcPr/>
          <w:p w:rsidR="00000000" w:rsidDel="00000000" w:rsidP="00000000" w:rsidRDefault="00000000" w:rsidRPr="00000000" w14:paraId="0000028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8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habilite las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capacidades técnicas para gestionar procesos y coreografías de negocio.</w:t>
            </w:r>
          </w:p>
        </w:tc>
        <w:tc>
          <w:tcPr/>
          <w:p w:rsidR="00000000" w:rsidDel="00000000" w:rsidP="00000000" w:rsidRDefault="00000000" w:rsidRPr="00000000" w14:paraId="0000028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debe realizar una evaluación de las herramientas existentes actuales y en el mercado para homologar la plataforma tecnológica. BanCoppel indica que para cubrir esta capa están evaluando, entre otros: Kiban, Pegasystem, Temenos Quatum y Salesforce.</w:t>
            </w:r>
          </w:p>
          <w:p w:rsidR="00000000" w:rsidDel="00000000" w:rsidP="00000000" w:rsidRDefault="00000000" w:rsidRPr="00000000" w14:paraId="0000029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Esto será definido y apagado con lo definido por la División de Arquitectura Grupo.</w:t>
            </w:r>
          </w:p>
        </w:tc>
      </w:tr>
      <w:tr>
        <w:trPr>
          <w:cantSplit w:val="1"/>
          <w:trHeight w:val="1578" w:hRule="atLeast"/>
          <w:tblHeader w:val="0"/>
        </w:trPr>
        <w:tc>
          <w:tcPr/>
          <w:p w:rsidR="00000000" w:rsidDel="00000000" w:rsidP="00000000" w:rsidRDefault="00000000" w:rsidRPr="00000000" w14:paraId="0000029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RNF-031</w:t>
            </w:r>
          </w:p>
        </w:tc>
        <w:tc>
          <w:tcPr/>
          <w:p w:rsidR="00000000" w:rsidDel="00000000" w:rsidP="00000000" w:rsidRDefault="00000000" w:rsidRPr="00000000" w14:paraId="0000029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9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habilita la capacidades técnicas para la exposición de API y mediación entre proveedores y consumidores de información</w:t>
            </w:r>
          </w:p>
        </w:tc>
        <w:tc>
          <w:tcPr/>
          <w:p w:rsidR="00000000" w:rsidDel="00000000" w:rsidP="00000000" w:rsidRDefault="00000000" w:rsidRPr="00000000" w14:paraId="0000029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ha indicado que actualmente tiene 17 plataformas diferentes vinculadas a las capacidades de integración. Recientemente ha decidido homologar a dos plataformas tecnológicas: Google Apigee y Anypoint Mulesoft.  </w:t>
            </w:r>
          </w:p>
          <w:p w:rsidR="00000000" w:rsidDel="00000000" w:rsidP="00000000" w:rsidRDefault="00000000" w:rsidRPr="00000000" w14:paraId="0000029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Apigee se utilizará para gestionar la exposición de API y Anypoint Mulesoft se utilizará para gestionar las coreografías de microservicios.</w:t>
            </w:r>
          </w:p>
        </w:tc>
      </w:tr>
      <w:tr>
        <w:trPr>
          <w:cantSplit w:val="1"/>
          <w:trHeight w:val="2880" w:hRule="atLeast"/>
          <w:tblHeader w:val="0"/>
        </w:trPr>
        <w:tc>
          <w:tcPr/>
          <w:p w:rsidR="00000000" w:rsidDel="00000000" w:rsidP="00000000" w:rsidRDefault="00000000" w:rsidRPr="00000000" w14:paraId="0000029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RNF-032</w:t>
            </w:r>
          </w:p>
        </w:tc>
        <w:tc>
          <w:tcPr/>
          <w:p w:rsidR="00000000" w:rsidDel="00000000" w:rsidP="00000000" w:rsidRDefault="00000000" w:rsidRPr="00000000" w14:paraId="0000029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9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habilita la capacidades técnicas de gestión de modelos de decisión</w:t>
            </w:r>
          </w:p>
        </w:tc>
        <w:tc>
          <w:tcPr/>
          <w:p w:rsidR="00000000" w:rsidDel="00000000" w:rsidP="00000000" w:rsidRDefault="00000000" w:rsidRPr="00000000" w14:paraId="0000029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debe considerar dos escenarios en vinculadas a la gestión de reglas de negocio:</w:t>
            </w:r>
          </w:p>
          <w:p w:rsidR="00000000" w:rsidDel="00000000" w:rsidP="00000000" w:rsidRDefault="00000000" w:rsidRPr="00000000" w14:paraId="0000029A">
            <w:pPr>
              <w:numPr>
                <w:ilvl w:val="0"/>
                <w:numId w:val="1"/>
              </w:numPr>
              <w:pBdr>
                <w:top w:space="0" w:sz="0" w:val="nil"/>
                <w:left w:space="0" w:sz="0" w:val="nil"/>
                <w:bottom w:space="0" w:sz="0" w:val="nil"/>
                <w:right w:space="0" w:sz="0" w:val="nil"/>
                <w:between w:space="0" w:sz="0" w:val="nil"/>
              </w:pBdr>
              <w:ind w:left="295"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 primer escenario está dado por la iniciativa de habilitar modelos de decisión con el motor de consultas de crédito. </w:t>
            </w:r>
          </w:p>
          <w:p w:rsidR="00000000" w:rsidDel="00000000" w:rsidP="00000000" w:rsidRDefault="00000000" w:rsidRPr="00000000" w14:paraId="0000029B">
            <w:pPr>
              <w:numPr>
                <w:ilvl w:val="0"/>
                <w:numId w:val="1"/>
              </w:numPr>
              <w:pBdr>
                <w:top w:space="0" w:sz="0" w:val="nil"/>
                <w:left w:space="0" w:sz="0" w:val="nil"/>
                <w:bottom w:space="0" w:sz="0" w:val="nil"/>
                <w:right w:space="0" w:sz="0" w:val="nil"/>
                <w:between w:space="0" w:sz="0" w:val="nil"/>
              </w:pBdr>
              <w:ind w:left="295"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 segundo escenario está</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dado por habilitar una plataforma de tipo  DMS (Decision Management Suite) que pueda gestionar los modelos de decisión que no serán cubiertos por el motor de consultas de crédito.</w:t>
            </w:r>
          </w:p>
          <w:p w:rsidR="00000000" w:rsidDel="00000000" w:rsidP="00000000" w:rsidRDefault="00000000" w:rsidRPr="00000000" w14:paraId="0000029C">
            <w:pPr>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29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criterios de uso para el nuevo DMS de aplicación transversal para la entidad seguirá las definiciones realizadas por la División de Arquitectura del Grupo.</w:t>
            </w:r>
          </w:p>
        </w:tc>
      </w:tr>
      <w:tr>
        <w:trPr>
          <w:cantSplit w:val="1"/>
          <w:trHeight w:val="978" w:hRule="atLeast"/>
          <w:tblHeader w:val="0"/>
        </w:trPr>
        <w:tc>
          <w:tcPr/>
          <w:p w:rsidR="00000000" w:rsidDel="00000000" w:rsidP="00000000" w:rsidRDefault="00000000" w:rsidRPr="00000000" w14:paraId="0000029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RNF-033</w:t>
            </w:r>
          </w:p>
        </w:tc>
        <w:tc>
          <w:tcPr/>
          <w:p w:rsidR="00000000" w:rsidDel="00000000" w:rsidP="00000000" w:rsidRDefault="00000000" w:rsidRPr="00000000" w14:paraId="0000029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A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habilita la capacidades técnicas de gestión de eventos</w:t>
            </w:r>
          </w:p>
        </w:tc>
        <w:tc>
          <w:tcPr/>
          <w:p w:rsidR="00000000" w:rsidDel="00000000" w:rsidP="00000000" w:rsidRDefault="00000000" w:rsidRPr="00000000" w14:paraId="000002A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debe realizar una evaluación de las herramientas que actualmente utilizan y determinar cuál será la preferida. Entre ellas se encuentran: Red Hat AQM e IBM MQ.</w:t>
            </w:r>
          </w:p>
        </w:tc>
      </w:tr>
      <w:tr>
        <w:trPr>
          <w:cantSplit w:val="1"/>
          <w:trHeight w:val="1920" w:hRule="atLeast"/>
          <w:tblHeader w:val="0"/>
        </w:trPr>
        <w:tc>
          <w:tcPr/>
          <w:p w:rsidR="00000000" w:rsidDel="00000000" w:rsidP="00000000" w:rsidRDefault="00000000" w:rsidRPr="00000000" w14:paraId="000002A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RNF-034</w:t>
            </w:r>
          </w:p>
        </w:tc>
        <w:tc>
          <w:tcPr/>
          <w:p w:rsidR="00000000" w:rsidDel="00000000" w:rsidP="00000000" w:rsidRDefault="00000000" w:rsidRPr="00000000" w14:paraId="000002A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A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habilite las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capacidades técnicas de gestión de contenedores y la comunicación entre microservicios en esquema Service Mesh.</w:t>
            </w:r>
          </w:p>
        </w:tc>
        <w:tc>
          <w:tcPr/>
          <w:p w:rsidR="00000000" w:rsidDel="00000000" w:rsidP="00000000" w:rsidRDefault="00000000" w:rsidRPr="00000000" w14:paraId="000002A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actualmente se encuentra utilizando Kubernetes en la implementación de Red Hat Openshift para gestión de contenedores. Una plataforma reconocida en el mercado y que tiene muy buenas capacidades para nube privada y públicas. En lo que respecta a Service Mesh, Red Hat basa su implementación de Openshift Service Mesh en Istio (un proyecto muy reconocido de código abierto). Istio proporciona una forma uniforme de conectar, administrar y monitorear aplicaciones basadas en microservicios</w:t>
            </w:r>
          </w:p>
        </w:tc>
      </w:tr>
      <w:tr>
        <w:trPr>
          <w:cantSplit w:val="1"/>
          <w:trHeight w:val="3120" w:hRule="atLeast"/>
          <w:tblHeader w:val="0"/>
        </w:trPr>
        <w:tc>
          <w:tcPr/>
          <w:p w:rsidR="00000000" w:rsidDel="00000000" w:rsidP="00000000" w:rsidRDefault="00000000" w:rsidRPr="00000000" w14:paraId="000002A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RNF-035</w:t>
            </w:r>
          </w:p>
        </w:tc>
        <w:tc>
          <w:tcPr/>
          <w:p w:rsidR="00000000" w:rsidDel="00000000" w:rsidP="00000000" w:rsidRDefault="00000000" w:rsidRPr="00000000" w14:paraId="000002A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A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habilita la capacidades técnicas gestión de contenidos no estructurados.</w:t>
            </w:r>
          </w:p>
        </w:tc>
        <w:tc>
          <w:tcPr/>
          <w:p w:rsidR="00000000" w:rsidDel="00000000" w:rsidP="00000000" w:rsidRDefault="00000000" w:rsidRPr="00000000" w14:paraId="000002A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establece un segmento para la gestión de contenidos no estructurados que debe ser soportado por plataformas tipo ECM (Enterprise Content Management) para gestionar el ciclo de vida de los contenidos. La correcta gestión de los contenidos (físicos o electrónicos) es una capacidad clave para cumplimientos normativos y de comunicación con los diferentes actores de un ecosistema digital.</w:t>
            </w:r>
          </w:p>
          <w:p w:rsidR="00000000" w:rsidDel="00000000" w:rsidP="00000000" w:rsidRDefault="00000000" w:rsidRPr="00000000" w14:paraId="000002A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br w:type="textWrapping"/>
              <w:t xml:space="preserve">BanCoppel actualmente utiliza OnBase pero existen iniciativas evaluando OpenText, es necesario determinar si habrá una homologación o se habilitarán diferentes ambas plataformas con diferentes propósitos. Es importante que esta decisión sea realizada considerando las características del modelo de gestión de contenidos empresarial de BanCoppel.</w:t>
            </w:r>
          </w:p>
        </w:tc>
      </w:tr>
      <w:tr>
        <w:trPr>
          <w:cantSplit w:val="1"/>
          <w:trHeight w:val="1200" w:hRule="atLeast"/>
          <w:tblHeader w:val="0"/>
        </w:trPr>
        <w:tc>
          <w:tcPr/>
          <w:p w:rsidR="00000000" w:rsidDel="00000000" w:rsidP="00000000" w:rsidRDefault="00000000" w:rsidRPr="00000000" w14:paraId="000002A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RNF-036</w:t>
            </w:r>
          </w:p>
        </w:tc>
        <w:tc>
          <w:tcPr/>
          <w:p w:rsidR="00000000" w:rsidDel="00000000" w:rsidP="00000000" w:rsidRDefault="00000000" w:rsidRPr="00000000" w14:paraId="000002A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A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habilite las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capacidades técnicas de seguridad.</w:t>
            </w:r>
          </w:p>
        </w:tc>
        <w:tc>
          <w:tcPr/>
          <w:p w:rsidR="00000000" w:rsidDel="00000000" w:rsidP="00000000" w:rsidRDefault="00000000" w:rsidRPr="00000000" w14:paraId="000002A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actualmente utiliza Azure Active Directory para la gestión de usuarios internos y ha definido Red Hat SSO para la gestión de esquemas federados de seguridad.</w:t>
            </w:r>
          </w:p>
        </w:tc>
      </w:tr>
      <w:tr>
        <w:trPr>
          <w:cantSplit w:val="1"/>
          <w:trHeight w:val="2160" w:hRule="atLeast"/>
          <w:tblHeader w:val="0"/>
        </w:trPr>
        <w:tc>
          <w:tcPr/>
          <w:p w:rsidR="00000000" w:rsidDel="00000000" w:rsidP="00000000" w:rsidRDefault="00000000" w:rsidRPr="00000000" w14:paraId="000002A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RNF-037</w:t>
            </w:r>
          </w:p>
        </w:tc>
        <w:tc>
          <w:tcPr/>
          <w:p w:rsidR="00000000" w:rsidDel="00000000" w:rsidP="00000000" w:rsidRDefault="00000000" w:rsidRPr="00000000" w14:paraId="000002B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B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habilita la capacidades gobierno de la arquitectura empresarial.</w:t>
            </w:r>
          </w:p>
        </w:tc>
        <w:tc>
          <w:tcPr/>
          <w:p w:rsidR="00000000" w:rsidDel="00000000" w:rsidP="00000000" w:rsidRDefault="00000000" w:rsidRPr="00000000" w14:paraId="000002B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actualmente utiliza Aris pero sólo enfocado a la gestión de procesos de negocio. Para los modelos de desacoplamiento de la iniciativa BIAN se encuentra utilizando EA Sparx Systems pero gestionado por la empresa encargada de la consultoría y gobierno. Es conveniente que BanCoppel establezca un modelo operativo de Gobierno de AE y defina un repositorio central para las diferentes vistas de arquitectura. Nuestra recomendación es promover el uso de Aris que ya poseen suscripciones y es una herramienta reconocida del mercado para gobierno de AE.</w:t>
            </w:r>
          </w:p>
        </w:tc>
      </w:tr>
    </w:tbl>
    <w:p w:rsidR="00000000" w:rsidDel="00000000" w:rsidP="00000000" w:rsidRDefault="00000000" w:rsidRPr="00000000" w14:paraId="000002B3">
      <w:pPr>
        <w:rPr>
          <w:rFonts w:ascii="Museo Sans 300" w:cs="Museo Sans 300" w:eastAsia="Museo Sans 300" w:hAnsi="Museo Sans 300"/>
          <w:b w:val="1"/>
          <w:color w:val="000000"/>
          <w:sz w:val="22"/>
          <w:szCs w:val="22"/>
        </w:rPr>
      </w:pPr>
      <w:bookmarkStart w:colFirst="0" w:colLast="0" w:name="_heading=h.4d34og8" w:id="9"/>
      <w:bookmarkEnd w:id="9"/>
      <w:r w:rsidDel="00000000" w:rsidR="00000000" w:rsidRPr="00000000">
        <w:rPr>
          <w:rtl w:val="0"/>
        </w:rPr>
      </w:r>
    </w:p>
    <w:p w:rsidR="00000000" w:rsidDel="00000000" w:rsidP="00000000" w:rsidRDefault="00000000" w:rsidRPr="00000000" w14:paraId="000002B4">
      <w:pPr>
        <w:pStyle w:val="Heading1"/>
        <w:numPr>
          <w:ilvl w:val="0"/>
          <w:numId w:val="2"/>
        </w:numPr>
        <w:ind w:left="720" w:hanging="360"/>
        <w:rPr/>
      </w:pPr>
      <w:bookmarkStart w:colFirst="0" w:colLast="0" w:name="_heading=h.z337ya" w:id="10"/>
      <w:bookmarkEnd w:id="10"/>
      <w:r w:rsidDel="00000000" w:rsidR="00000000" w:rsidRPr="00000000">
        <w:rPr>
          <w:rtl w:val="0"/>
        </w:rPr>
        <w:t xml:space="preserve">Firmas de Autorización </w:t>
      </w:r>
    </w:p>
    <w:p w:rsidR="00000000" w:rsidDel="00000000" w:rsidP="00000000" w:rsidRDefault="00000000" w:rsidRPr="00000000" w14:paraId="000002B5">
      <w:pPr>
        <w:rPr/>
      </w:pPr>
      <w:r w:rsidDel="00000000" w:rsidR="00000000" w:rsidRPr="00000000">
        <w:rPr>
          <w:rtl w:val="0"/>
        </w:rPr>
      </w:r>
    </w:p>
    <w:tbl>
      <w:tblPr>
        <w:tblStyle w:val="Table8"/>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1843"/>
        <w:gridCol w:w="1804"/>
        <w:gridCol w:w="2307"/>
        <w:tblGridChange w:id="0">
          <w:tblGrid>
            <w:gridCol w:w="2830"/>
            <w:gridCol w:w="1843"/>
            <w:gridCol w:w="1804"/>
            <w:gridCol w:w="2307"/>
          </w:tblGrid>
        </w:tblGridChange>
      </w:tblGrid>
      <w:tr>
        <w:trPr>
          <w:cantSplit w:val="0"/>
          <w:trHeight w:val="456" w:hRule="atLeast"/>
          <w:tblHeader w:val="0"/>
        </w:trPr>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2B6">
            <w:pPr>
              <w:rPr>
                <w:rFonts w:ascii="Museo Sans 300" w:cs="Museo Sans 300" w:eastAsia="Museo Sans 300" w:hAnsi="Museo Sans 300"/>
                <w:b w:val="1"/>
                <w:color w:val="ffffff"/>
                <w:sz w:val="20"/>
                <w:szCs w:val="20"/>
              </w:rPr>
            </w:pPr>
            <w:r w:rsidDel="00000000" w:rsidR="00000000" w:rsidRPr="00000000">
              <w:rPr>
                <w:rFonts w:ascii="Museo Sans 300" w:cs="Museo Sans 300" w:eastAsia="Museo Sans 300" w:hAnsi="Museo Sans 300"/>
                <w:b w:val="1"/>
                <w:color w:val="ffffff"/>
                <w:sz w:val="20"/>
                <w:szCs w:val="20"/>
                <w:rtl w:val="0"/>
              </w:rPr>
              <w:t xml:space="preserve">Nombre</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2B7">
            <w:pPr>
              <w:jc w:val="center"/>
              <w:rPr>
                <w:rFonts w:ascii="Museo Sans 300" w:cs="Museo Sans 300" w:eastAsia="Museo Sans 300" w:hAnsi="Museo Sans 300"/>
                <w:b w:val="1"/>
                <w:color w:val="ffffff"/>
                <w:sz w:val="20"/>
                <w:szCs w:val="20"/>
              </w:rPr>
            </w:pPr>
            <w:r w:rsidDel="00000000" w:rsidR="00000000" w:rsidRPr="00000000">
              <w:rPr>
                <w:rFonts w:ascii="Museo Sans 300" w:cs="Museo Sans 300" w:eastAsia="Museo Sans 300" w:hAnsi="Museo Sans 300"/>
                <w:b w:val="1"/>
                <w:color w:val="ffffff"/>
                <w:sz w:val="20"/>
                <w:szCs w:val="20"/>
                <w:rtl w:val="0"/>
              </w:rPr>
              <w:t xml:space="preserve">Cargo</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2B8">
            <w:pPr>
              <w:jc w:val="center"/>
              <w:rPr>
                <w:rFonts w:ascii="Museo Sans 300" w:cs="Museo Sans 300" w:eastAsia="Museo Sans 300" w:hAnsi="Museo Sans 300"/>
                <w:b w:val="1"/>
                <w:color w:val="ffffff"/>
                <w:sz w:val="20"/>
                <w:szCs w:val="20"/>
              </w:rPr>
            </w:pPr>
            <w:r w:rsidDel="00000000" w:rsidR="00000000" w:rsidRPr="00000000">
              <w:rPr>
                <w:rFonts w:ascii="Museo Sans 300" w:cs="Museo Sans 300" w:eastAsia="Museo Sans 300" w:hAnsi="Museo Sans 300"/>
                <w:b w:val="1"/>
                <w:color w:val="ffffff"/>
                <w:sz w:val="20"/>
                <w:szCs w:val="20"/>
                <w:rtl w:val="0"/>
              </w:rPr>
              <w:t xml:space="preserve">Fecha</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2B9">
            <w:pPr>
              <w:jc w:val="center"/>
              <w:rPr>
                <w:rFonts w:ascii="Museo Sans 300" w:cs="Museo Sans 300" w:eastAsia="Museo Sans 300" w:hAnsi="Museo Sans 300"/>
                <w:b w:val="1"/>
                <w:color w:val="ffffff"/>
                <w:sz w:val="20"/>
                <w:szCs w:val="20"/>
              </w:rPr>
            </w:pPr>
            <w:r w:rsidDel="00000000" w:rsidR="00000000" w:rsidRPr="00000000">
              <w:rPr>
                <w:rFonts w:ascii="Museo Sans 300" w:cs="Museo Sans 300" w:eastAsia="Museo Sans 300" w:hAnsi="Museo Sans 300"/>
                <w:b w:val="1"/>
                <w:color w:val="ffffff"/>
                <w:sz w:val="20"/>
                <w:szCs w:val="20"/>
                <w:rtl w:val="0"/>
              </w:rPr>
              <w:t xml:space="preserve">Firma</w:t>
            </w:r>
          </w:p>
        </w:tc>
      </w:tr>
      <w:tr>
        <w:trPr>
          <w:cantSplit w:val="0"/>
          <w:trHeight w:val="94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A">
            <w:pPr>
              <w:spacing w:line="360" w:lineRule="auto"/>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Jorge de la Cruz</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B">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Gerente Nacional Arquitectura TI - SF</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C">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07/10/2022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D">
            <w:pPr>
              <w:spacing w:line="360" w:lineRule="auto"/>
              <w:jc w:val="center"/>
              <w:rPr>
                <w:rFonts w:ascii="Quattrocento Sans" w:cs="Quattrocento Sans" w:eastAsia="Quattrocento Sans" w:hAnsi="Quattrocento Sans"/>
                <w:color w:val="000000"/>
                <w:sz w:val="18"/>
                <w:szCs w:val="18"/>
              </w:rPr>
            </w:pPr>
            <w:r w:rsidDel="00000000" w:rsidR="00000000" w:rsidRPr="00000000">
              <w:rPr>
                <w:rtl w:val="0"/>
              </w:rPr>
            </w:r>
          </w:p>
        </w:tc>
      </w:tr>
      <w:tr>
        <w:trPr>
          <w:cantSplit w:val="0"/>
          <w:trHeight w:val="94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E">
            <w:pPr>
              <w:spacing w:line="360" w:lineRule="auto"/>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Luis Rivera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F">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Gerente de Sistemas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0">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07/10/2022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1">
            <w:pPr>
              <w:spacing w:line="360" w:lineRule="auto"/>
              <w:jc w:val="center"/>
              <w:rPr>
                <w:rFonts w:ascii="Quattrocento Sans" w:cs="Quattrocento Sans" w:eastAsia="Quattrocento Sans" w:hAnsi="Quattrocento Sans"/>
                <w:color w:val="000000"/>
                <w:sz w:val="18"/>
                <w:szCs w:val="18"/>
              </w:rPr>
            </w:pPr>
            <w:r w:rsidDel="00000000" w:rsidR="00000000" w:rsidRPr="00000000">
              <w:rPr>
                <w:rtl w:val="0"/>
              </w:rPr>
            </w:r>
          </w:p>
        </w:tc>
      </w:tr>
      <w:tr>
        <w:trPr>
          <w:cantSplit w:val="0"/>
          <w:trHeight w:val="94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2">
            <w:pPr>
              <w:spacing w:line="360" w:lineRule="auto"/>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Gabriel Meneses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3">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Gerente de Proyecto </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4">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07/10/2022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5">
            <w:pPr>
              <w:spacing w:line="360" w:lineRule="auto"/>
              <w:jc w:val="center"/>
              <w:rPr>
                <w:rFonts w:ascii="Quattrocento Sans" w:cs="Quattrocento Sans" w:eastAsia="Quattrocento Sans" w:hAnsi="Quattrocento Sans"/>
                <w:color w:val="000000"/>
                <w:sz w:val="18"/>
                <w:szCs w:val="18"/>
              </w:rPr>
            </w:pPr>
            <w:r w:rsidDel="00000000" w:rsidR="00000000" w:rsidRPr="00000000">
              <w:rPr>
                <w:rtl w:val="0"/>
              </w:rPr>
            </w:r>
          </w:p>
        </w:tc>
      </w:tr>
    </w:tbl>
    <w:p w:rsidR="00000000" w:rsidDel="00000000" w:rsidP="00000000" w:rsidRDefault="00000000" w:rsidRPr="00000000" w14:paraId="000002C6">
      <w:pPr>
        <w:pBdr>
          <w:top w:space="0" w:sz="0" w:val="nil"/>
          <w:left w:space="0" w:sz="0" w:val="nil"/>
          <w:bottom w:space="0" w:sz="0" w:val="nil"/>
          <w:right w:space="0" w:sz="0" w:val="nil"/>
          <w:between w:space="0" w:sz="0" w:val="nil"/>
        </w:pBdr>
        <w:spacing w:line="360" w:lineRule="auto"/>
        <w:ind w:right="72"/>
        <w:rPr>
          <w:rFonts w:ascii="Quattrocento Sans" w:cs="Quattrocento Sans" w:eastAsia="Quattrocento Sans" w:hAnsi="Quattrocento Sans"/>
          <w:color w:val="000000"/>
          <w:sz w:val="14"/>
          <w:szCs w:val="14"/>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360" w:lineRule="auto"/>
        <w:ind w:right="72"/>
        <w:jc w:val="both"/>
        <w:rPr/>
      </w:pPr>
      <w:r w:rsidDel="00000000" w:rsidR="00000000" w:rsidRPr="00000000">
        <w:rPr>
          <w:rFonts w:ascii="Quattrocento Sans" w:cs="Quattrocento Sans" w:eastAsia="Quattrocento Sans" w:hAnsi="Quattrocento Sans"/>
          <w:color w:val="000000"/>
          <w:rtl w:val="0"/>
        </w:rPr>
        <w:t xml:space="preserve">Ambas partes quedan en el entendido que por la contingencia derivada</w:t>
      </w:r>
      <w:r w:rsidDel="00000000" w:rsidR="00000000" w:rsidRPr="00000000">
        <w:rPr>
          <w:rtl w:val="0"/>
        </w:rPr>
        <w:t xml:space="preserve">     </w:t>
      </w:r>
      <w:r w:rsidDel="00000000" w:rsidR="00000000" w:rsidRPr="00000000">
        <w:rPr>
          <w:rFonts w:ascii="Quattrocento Sans" w:cs="Quattrocento Sans" w:eastAsia="Quattrocento Sans" w:hAnsi="Quattrocento Sans"/>
          <w:color w:val="000000"/>
          <w:rtl w:val="0"/>
        </w:rPr>
        <w:t xml:space="preserve">del Covid-19, la confirmación de aceptación por algún medio electrónico del presente documento será considerada como válida para los efectos de cierre del presente Track. Así también, para revisar los entregables se tendrá un plazo máximo de 5 días hábiles, los cuales comenzarán</w:t>
      </w:r>
      <w:r w:rsidDel="00000000" w:rsidR="00000000" w:rsidRPr="00000000">
        <w:rPr>
          <w:rtl w:val="0"/>
        </w:rPr>
        <w:t xml:space="preserve">     </w:t>
      </w:r>
      <w:r w:rsidDel="00000000" w:rsidR="00000000" w:rsidRPr="00000000">
        <w:rPr>
          <w:rFonts w:ascii="Quattrocento Sans" w:cs="Quattrocento Sans" w:eastAsia="Quattrocento Sans" w:hAnsi="Quattrocento Sans"/>
          <w:color w:val="000000"/>
          <w:rtl w:val="0"/>
        </w:rPr>
        <w:t xml:space="preserve"> a contar a partir del día siguiente de la fecha de entrega del presente documento.</w:t>
      </w:r>
      <w:r w:rsidDel="00000000" w:rsidR="00000000" w:rsidRPr="00000000">
        <w:rPr>
          <w:rtl w:val="0"/>
        </w:rPr>
      </w:r>
    </w:p>
    <w:sectPr>
      <w:headerReference r:id="rId15" w:type="default"/>
      <w:footerReference r:id="rId16" w:type="default"/>
      <w:pgSz w:h="15840" w:w="12240" w:orient="portrait"/>
      <w:pgMar w:bottom="1417" w:top="1417" w:left="1701" w:right="1701" w:header="72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Verdana"/>
  <w:font w:name="Calibri"/>
  <w:font w:name="Times New Roman"/>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Gill Sans">
    <w:embedRegular w:fontKey="{00000000-0000-0000-0000-000000000000}" r:id="rId11" w:subsetted="0"/>
    <w:embedBold w:fontKey="{00000000-0000-0000-0000-000000000000}" r:id="rId12" w:subsetted="0"/>
  </w:font>
  <w:font w:name="Museo Sans 300"/>
  <w:font w:name="Museo Sans 500"/>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9">
    <w:pPr>
      <w:pBdr>
        <w:top w:space="0" w:sz="0" w:val="nil"/>
        <w:left w:space="0" w:sz="0" w:val="nil"/>
        <w:bottom w:space="0" w:sz="0" w:val="nil"/>
        <w:right w:space="0" w:sz="0" w:val="nil"/>
        <w:between w:space="0" w:sz="0" w:val="nil"/>
      </w:pBdr>
      <w:tabs>
        <w:tab w:val="center" w:leader="none" w:pos="4419"/>
        <w:tab w:val="right" w:leader="none" w:pos="8838"/>
      </w:tabs>
      <w:ind w:right="100"/>
      <w:jc w:val="right"/>
      <w:rPr>
        <w:rFonts w:ascii="Quattrocento Sans" w:cs="Quattrocento Sans" w:eastAsia="Quattrocento Sans" w:hAnsi="Quattrocento Sans"/>
        <w:color w:val="000000"/>
        <w:sz w:val="20"/>
        <w:szCs w:val="20"/>
      </w:rPr>
    </w:pPr>
    <w:r w:rsidDel="00000000" w:rsidR="00000000" w:rsidRPr="00000000">
      <w:rPr>
        <w:rtl w:val="0"/>
      </w:rPr>
    </w:r>
  </w:p>
  <w:tbl>
    <w:tblPr>
      <w:tblStyle w:val="Table9"/>
      <w:tblW w:w="10348.000000000002" w:type="dxa"/>
      <w:jc w:val="left"/>
      <w:tblInd w:w="-85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827"/>
      <w:gridCol w:w="2610"/>
      <w:gridCol w:w="1552"/>
      <w:gridCol w:w="2359"/>
      <w:tblGridChange w:id="0">
        <w:tblGrid>
          <w:gridCol w:w="3827"/>
          <w:gridCol w:w="2610"/>
          <w:gridCol w:w="1552"/>
          <w:gridCol w:w="2359"/>
        </w:tblGrid>
      </w:tblGridChange>
    </w:tblGrid>
    <w:tr>
      <w:trPr>
        <w:cantSplit w:val="0"/>
        <w:trHeight w:val="414" w:hRule="atLeast"/>
        <w:tblHeader w:val="0"/>
      </w:trPr>
      <w:tc>
        <w:tcPr>
          <w:vAlign w:val="center"/>
        </w:tcPr>
        <w:p w:rsidR="00000000" w:rsidDel="00000000" w:rsidP="00000000" w:rsidRDefault="00000000" w:rsidRPr="00000000" w14:paraId="000002CA">
          <w:pPr>
            <w:pBdr>
              <w:top w:space="0" w:sz="0" w:val="nil"/>
              <w:left w:space="0" w:sz="0" w:val="nil"/>
              <w:bottom w:space="0" w:sz="0" w:val="nil"/>
              <w:right w:space="0" w:sz="0" w:val="nil"/>
              <w:between w:space="0" w:sz="0" w:val="nil"/>
            </w:pBdr>
            <w:tabs>
              <w:tab w:val="center" w:leader="none" w:pos="4419"/>
              <w:tab w:val="right" w:leader="none" w:pos="8838"/>
            </w:tabs>
            <w:jc w:val="center"/>
            <w:rPr>
              <w:rFonts w:ascii="Quattrocento Sans" w:cs="Quattrocento Sans" w:eastAsia="Quattrocento Sans" w:hAnsi="Quattrocento Sans"/>
              <w:color w:val="000000"/>
              <w:sz w:val="16"/>
              <w:szCs w:val="16"/>
            </w:rPr>
          </w:pPr>
          <w:r w:rsidDel="00000000" w:rsidR="00000000" w:rsidRPr="00000000">
            <w:rPr>
              <w:rFonts w:ascii="Quattrocento Sans" w:cs="Quattrocento Sans" w:eastAsia="Quattrocento Sans" w:hAnsi="Quattrocento Sans"/>
              <w:color w:val="000000"/>
              <w:sz w:val="16"/>
              <w:szCs w:val="16"/>
              <w:rtl w:val="0"/>
            </w:rPr>
            <w:t xml:space="preserve">BANCOPPEL</w:t>
          </w:r>
        </w:p>
      </w:tc>
      <w:tc>
        <w:tcPr>
          <w:vAlign w:val="center"/>
        </w:tcPr>
        <w:p w:rsidR="00000000" w:rsidDel="00000000" w:rsidP="00000000" w:rsidRDefault="00000000" w:rsidRPr="00000000" w14:paraId="000002CB">
          <w:pPr>
            <w:pBdr>
              <w:top w:space="0" w:sz="0" w:val="nil"/>
              <w:left w:space="0" w:sz="0" w:val="nil"/>
              <w:bottom w:space="0" w:sz="0" w:val="nil"/>
              <w:right w:space="0" w:sz="0" w:val="nil"/>
              <w:between w:space="0" w:sz="0" w:val="nil"/>
            </w:pBdr>
            <w:tabs>
              <w:tab w:val="center" w:leader="none" w:pos="4419"/>
              <w:tab w:val="right" w:leader="none" w:pos="8838"/>
            </w:tabs>
            <w:jc w:val="center"/>
            <w:rPr>
              <w:rFonts w:ascii="Quattrocento Sans" w:cs="Quattrocento Sans" w:eastAsia="Quattrocento Sans" w:hAnsi="Quattrocento Sans"/>
              <w:color w:val="000000"/>
              <w:sz w:val="16"/>
              <w:szCs w:val="16"/>
            </w:rPr>
          </w:pPr>
          <w:r w:rsidDel="00000000" w:rsidR="00000000" w:rsidRPr="00000000">
            <w:rPr>
              <w:rFonts w:ascii="Quattrocento Sans" w:cs="Quattrocento Sans" w:eastAsia="Quattrocento Sans" w:hAnsi="Quattrocento Sans"/>
              <w:color w:val="000000"/>
              <w:sz w:val="16"/>
              <w:szCs w:val="16"/>
              <w:rtl w:val="0"/>
            </w:rPr>
            <w:t xml:space="preserve">Vigente a partir de:</w:t>
          </w:r>
        </w:p>
        <w:p w:rsidR="00000000" w:rsidDel="00000000" w:rsidP="00000000" w:rsidRDefault="00000000" w:rsidRPr="00000000" w14:paraId="000002CC">
          <w:pPr>
            <w:pBdr>
              <w:top w:space="0" w:sz="0" w:val="nil"/>
              <w:left w:space="0" w:sz="0" w:val="nil"/>
              <w:bottom w:space="0" w:sz="0" w:val="nil"/>
              <w:right w:space="0" w:sz="0" w:val="nil"/>
              <w:between w:space="0" w:sz="0" w:val="nil"/>
            </w:pBdr>
            <w:tabs>
              <w:tab w:val="center" w:leader="none" w:pos="4419"/>
              <w:tab w:val="right" w:leader="none" w:pos="8838"/>
            </w:tabs>
            <w:jc w:val="center"/>
            <w:rPr>
              <w:rFonts w:ascii="Quattrocento Sans" w:cs="Quattrocento Sans" w:eastAsia="Quattrocento Sans" w:hAnsi="Quattrocento Sans"/>
              <w:color w:val="000000"/>
              <w:sz w:val="16"/>
              <w:szCs w:val="16"/>
            </w:rPr>
          </w:pPr>
          <w:r w:rsidDel="00000000" w:rsidR="00000000" w:rsidRPr="00000000">
            <w:rPr>
              <w:rFonts w:ascii="Quattrocento Sans" w:cs="Quattrocento Sans" w:eastAsia="Quattrocento Sans" w:hAnsi="Quattrocento Sans"/>
              <w:color w:val="000000"/>
              <w:sz w:val="16"/>
              <w:szCs w:val="16"/>
              <w:rtl w:val="0"/>
            </w:rPr>
            <w:t xml:space="preserve">01/09/22</w:t>
          </w:r>
        </w:p>
      </w:tc>
      <w:tc>
        <w:tcPr>
          <w:vAlign w:val="center"/>
        </w:tcPr>
        <w:p w:rsidR="00000000" w:rsidDel="00000000" w:rsidP="00000000" w:rsidRDefault="00000000" w:rsidRPr="00000000" w14:paraId="000002CD">
          <w:pPr>
            <w:pBdr>
              <w:top w:space="0" w:sz="0" w:val="nil"/>
              <w:left w:space="0" w:sz="0" w:val="nil"/>
              <w:bottom w:space="0" w:sz="0" w:val="nil"/>
              <w:right w:space="0" w:sz="0" w:val="nil"/>
              <w:between w:space="0" w:sz="0" w:val="nil"/>
            </w:pBdr>
            <w:tabs>
              <w:tab w:val="center" w:leader="none" w:pos="4419"/>
              <w:tab w:val="right" w:leader="none" w:pos="8838"/>
            </w:tabs>
            <w:jc w:val="center"/>
            <w:rPr>
              <w:rFonts w:ascii="Quattrocento Sans" w:cs="Quattrocento Sans" w:eastAsia="Quattrocento Sans" w:hAnsi="Quattrocento Sans"/>
              <w:color w:val="000000"/>
              <w:sz w:val="16"/>
              <w:szCs w:val="16"/>
            </w:rPr>
          </w:pPr>
          <w:r w:rsidDel="00000000" w:rsidR="00000000" w:rsidRPr="00000000">
            <w:rPr>
              <w:rFonts w:ascii="Quattrocento Sans" w:cs="Quattrocento Sans" w:eastAsia="Quattrocento Sans" w:hAnsi="Quattrocento Sans"/>
              <w:color w:val="000000"/>
              <w:sz w:val="16"/>
              <w:szCs w:val="16"/>
              <w:rtl w:val="0"/>
            </w:rPr>
            <w:t xml:space="preserve">Versión: 1.4</w:t>
          </w:r>
        </w:p>
      </w:tc>
      <w:tc>
        <w:tcPr>
          <w:vAlign w:val="center"/>
        </w:tcPr>
        <w:p w:rsidR="00000000" w:rsidDel="00000000" w:rsidP="00000000" w:rsidRDefault="00000000" w:rsidRPr="00000000" w14:paraId="000002CE">
          <w:pPr>
            <w:pBdr>
              <w:top w:space="0" w:sz="0" w:val="nil"/>
              <w:left w:space="0" w:sz="0" w:val="nil"/>
              <w:bottom w:space="0" w:sz="0" w:val="nil"/>
              <w:right w:space="0" w:sz="0" w:val="nil"/>
              <w:between w:space="0" w:sz="0" w:val="nil"/>
            </w:pBdr>
            <w:tabs>
              <w:tab w:val="center" w:leader="none" w:pos="4419"/>
              <w:tab w:val="right" w:leader="none" w:pos="8838"/>
            </w:tabs>
            <w:jc w:val="center"/>
            <w:rPr>
              <w:rFonts w:ascii="Quattrocento Sans" w:cs="Quattrocento Sans" w:eastAsia="Quattrocento Sans" w:hAnsi="Quattrocento Sans"/>
              <w:color w:val="000000"/>
              <w:sz w:val="16"/>
              <w:szCs w:val="16"/>
            </w:rPr>
          </w:pPr>
          <w:r w:rsidDel="00000000" w:rsidR="00000000" w:rsidRPr="00000000">
            <w:rPr>
              <w:rFonts w:ascii="Quattrocento Sans" w:cs="Quattrocento Sans" w:eastAsia="Quattrocento Sans" w:hAnsi="Quattrocento Sans"/>
              <w:color w:val="000000"/>
              <w:sz w:val="16"/>
              <w:szCs w:val="16"/>
              <w:rtl w:val="0"/>
            </w:rPr>
            <w:t xml:space="preserve">Página: </w:t>
          </w:r>
          <w:r w:rsidDel="00000000" w:rsidR="00000000" w:rsidRPr="00000000">
            <w:rPr>
              <w:rFonts w:ascii="Quattrocento Sans" w:cs="Quattrocento Sans" w:eastAsia="Quattrocento Sans" w:hAnsi="Quattrocento Sans"/>
              <w:color w:val="000000"/>
              <w:sz w:val="16"/>
              <w:szCs w:val="16"/>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color w:val="000000"/>
              <w:sz w:val="16"/>
              <w:szCs w:val="16"/>
              <w:rtl w:val="0"/>
            </w:rPr>
            <w:t xml:space="preserve"> de </w:t>
          </w:r>
          <w:r w:rsidDel="00000000" w:rsidR="00000000" w:rsidRPr="00000000">
            <w:rPr>
              <w:rFonts w:ascii="Quattrocento Sans" w:cs="Quattrocento Sans" w:eastAsia="Quattrocento Sans" w:hAnsi="Quattrocento Sans"/>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CF">
    <w:pPr>
      <w:pBdr>
        <w:top w:space="0" w:sz="0" w:val="nil"/>
        <w:left w:space="0" w:sz="0" w:val="nil"/>
        <w:bottom w:space="0" w:sz="0" w:val="nil"/>
        <w:right w:space="0" w:sz="0" w:val="nil"/>
        <w:between w:space="0" w:sz="0" w:val="nil"/>
      </w:pBdr>
      <w:tabs>
        <w:tab w:val="center" w:leader="none" w:pos="4419"/>
        <w:tab w:val="right" w:leader="none" w:pos="8838"/>
      </w:tabs>
      <w:ind w:right="500"/>
      <w:rPr>
        <w:rFonts w:ascii="Quattrocento Sans" w:cs="Quattrocento Sans" w:eastAsia="Quattrocento Sans" w:hAnsi="Quattrocento Sans"/>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8">
    <w:pPr>
      <w:pBdr>
        <w:top w:space="0" w:sz="0" w:val="nil"/>
        <w:left w:space="0" w:sz="0" w:val="nil"/>
        <w:bottom w:space="0" w:sz="0" w:val="nil"/>
        <w:right w:space="0" w:sz="0" w:val="nil"/>
        <w:between w:space="0" w:sz="0" w:val="nil"/>
      </w:pBdr>
      <w:spacing w:line="360" w:lineRule="auto"/>
      <w:ind w:left="360" w:right="-432" w:hanging="360"/>
      <w:rPr>
        <w:rFonts w:ascii="Verdana" w:cs="Verdana" w:eastAsia="Verdana" w:hAnsi="Verdana"/>
        <w:b w:val="1"/>
        <w:color w:val="000000"/>
        <w:sz w:val="20"/>
        <w:szCs w:val="20"/>
      </w:rPr>
    </w:pPr>
    <w:r w:rsidDel="00000000" w:rsidR="00000000" w:rsidRPr="00000000">
      <w:rPr>
        <w:rFonts w:ascii="Verdana" w:cs="Verdana" w:eastAsia="Verdana" w:hAnsi="Verdana"/>
        <w:b w:val="1"/>
        <w:color w:val="000000"/>
        <w:sz w:val="20"/>
        <w:szCs w:val="20"/>
        <w:rtl w:val="0"/>
      </w:rPr>
      <w:t xml:space="preserve"> </w:t>
      <w:tab/>
      <w:tab/>
      <w:tab/>
      <w:tab/>
      <w:tab/>
    </w:r>
    <w:r w:rsidDel="00000000" w:rsidR="00000000" w:rsidRPr="00000000">
      <w:drawing>
        <wp:anchor allowOverlap="1" behindDoc="0" distB="0" distT="0" distL="114300" distR="114300" hidden="0" layoutInCell="1" locked="0" relativeHeight="0" simplePos="0">
          <wp:simplePos x="0" y="0"/>
          <wp:positionH relativeFrom="column">
            <wp:posOffset>4074502</wp:posOffset>
          </wp:positionH>
          <wp:positionV relativeFrom="paragraph">
            <wp:posOffset>-279887</wp:posOffset>
          </wp:positionV>
          <wp:extent cx="1930400" cy="422910"/>
          <wp:effectExtent b="0" l="0" r="0" t="0"/>
          <wp:wrapSquare wrapText="bothSides" distB="0" distT="0" distL="114300" distR="114300"/>
          <wp:docPr id="5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930400" cy="4229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
    <w:lvl w:ilvl="0">
      <w:start w:val="1"/>
      <w:numFmt w:val="bullet"/>
      <w:lvlText w:val="●"/>
      <w:lvlJc w:val="left"/>
      <w:pPr>
        <w:ind w:left="1287" w:hanging="360.0000000000001"/>
      </w:pPr>
      <w:rPr>
        <w:rFonts w:ascii="Noto Sans" w:cs="Noto Sans" w:eastAsia="Noto Sans" w:hAnsi="Noto San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w:cs="Noto Sans" w:eastAsia="Noto Sans" w:hAnsi="Noto Sans"/>
      </w:rPr>
    </w:lvl>
    <w:lvl w:ilvl="3">
      <w:start w:val="1"/>
      <w:numFmt w:val="bullet"/>
      <w:lvlText w:val="●"/>
      <w:lvlJc w:val="left"/>
      <w:pPr>
        <w:ind w:left="3447" w:hanging="360"/>
      </w:pPr>
      <w:rPr>
        <w:rFonts w:ascii="Noto Sans" w:cs="Noto Sans" w:eastAsia="Noto Sans" w:hAnsi="Noto San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w:cs="Noto Sans" w:eastAsia="Noto Sans" w:hAnsi="Noto Sans"/>
      </w:rPr>
    </w:lvl>
    <w:lvl w:ilvl="6">
      <w:start w:val="1"/>
      <w:numFmt w:val="bullet"/>
      <w:lvlText w:val="●"/>
      <w:lvlJc w:val="left"/>
      <w:pPr>
        <w:ind w:left="5607" w:hanging="360"/>
      </w:pPr>
      <w:rPr>
        <w:rFonts w:ascii="Noto Sans" w:cs="Noto Sans" w:eastAsia="Noto Sans" w:hAnsi="Noto San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8">
    <w:lvl w:ilvl="0">
      <w:start w:val="0"/>
      <w:numFmt w:val="bullet"/>
      <w:lvlText w:val="-"/>
      <w:lvlJc w:val="left"/>
      <w:pPr>
        <w:ind w:left="720" w:hanging="360"/>
      </w:pPr>
      <w:rPr>
        <w:rFonts w:ascii="Gill Sans" w:cs="Gill Sans" w:eastAsia="Gill Sans" w:hAnsi="Gill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ill Sans" w:cs="Gill Sans" w:eastAsia="Gill Sans" w:hAnsi="Gill Sans"/>
        <w:sz w:val="21"/>
        <w:szCs w:val="21"/>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360" w:lineRule="auto"/>
      <w:ind w:left="720" w:hanging="360"/>
    </w:pPr>
    <w:rPr>
      <w:rFonts w:ascii="Museo Sans 300" w:cs="Museo Sans 300" w:eastAsia="Museo Sans 300" w:hAnsi="Museo Sans 300"/>
      <w:b w:val="1"/>
      <w:sz w:val="22"/>
      <w:szCs w:val="2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A7151"/>
  </w:style>
  <w:style w:type="paragraph" w:styleId="Ttulo1">
    <w:name w:val="heading 1"/>
    <w:basedOn w:val="Titulo1"/>
    <w:next w:val="Normal"/>
    <w:link w:val="Ttulo1Car"/>
    <w:uiPriority w:val="9"/>
    <w:qFormat w:val="1"/>
    <w:rsid w:val="00283B98"/>
    <w:pPr>
      <w:numPr>
        <w:numId w:val="0"/>
      </w:numPr>
      <w:outlineLvl w:val="0"/>
    </w:pPr>
    <w:rPr>
      <w:rFonts w:ascii="Museo Sans 300" w:hAnsi="Museo Sans 300"/>
      <w:sz w:val="22"/>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link w:val="Ttulo3Car"/>
    <w:uiPriority w:val="9"/>
    <w:semiHidden w:val="1"/>
    <w:unhideWhenUsed w:val="1"/>
    <w:qFormat w:val="1"/>
    <w:rsid w:val="00A1355F"/>
    <w:pPr>
      <w:keepNext w:val="1"/>
      <w:spacing w:after="60" w:before="240"/>
      <w:outlineLvl w:val="2"/>
    </w:pPr>
    <w:rPr>
      <w:rFonts w:ascii="Cambria" w:cs="Times New Roman" w:eastAsia="Times New Roman" w:hAnsi="Cambria"/>
      <w:b w:val="1"/>
      <w:bCs w:val="1"/>
      <w:sz w:val="26"/>
      <w:szCs w:val="26"/>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C70FB5"/>
    <w:pPr>
      <w:tabs>
        <w:tab w:val="center" w:pos="4419"/>
        <w:tab w:val="right" w:pos="8838"/>
      </w:tabs>
    </w:pPr>
  </w:style>
  <w:style w:type="character" w:styleId="EncabezadoCar" w:customStyle="1">
    <w:name w:val="Encabezado Car"/>
    <w:basedOn w:val="Fuentedeprrafopredeter"/>
    <w:link w:val="Encabezado"/>
    <w:uiPriority w:val="99"/>
    <w:rsid w:val="00C70FB5"/>
  </w:style>
  <w:style w:type="paragraph" w:styleId="Piedepgina">
    <w:name w:val="footer"/>
    <w:basedOn w:val="Normal"/>
    <w:link w:val="PiedepginaCar"/>
    <w:uiPriority w:val="99"/>
    <w:unhideWhenUsed w:val="1"/>
    <w:rsid w:val="00C70FB5"/>
    <w:pPr>
      <w:tabs>
        <w:tab w:val="center" w:pos="4419"/>
        <w:tab w:val="right" w:pos="8838"/>
      </w:tabs>
    </w:pPr>
  </w:style>
  <w:style w:type="character" w:styleId="PiedepginaCar" w:customStyle="1">
    <w:name w:val="Pie de página Car"/>
    <w:basedOn w:val="Fuentedeprrafopredeter"/>
    <w:link w:val="Piedepgina"/>
    <w:uiPriority w:val="99"/>
    <w:rsid w:val="00C70FB5"/>
  </w:style>
  <w:style w:type="character" w:styleId="Hipervnculo">
    <w:name w:val="Hyperlink"/>
    <w:basedOn w:val="Fuentedeprrafopredeter"/>
    <w:uiPriority w:val="99"/>
    <w:unhideWhenUsed w:val="1"/>
    <w:rsid w:val="00123549"/>
    <w:rPr>
      <w:color w:val="5f5f5f" w:themeColor="hyperlink"/>
      <w:u w:val="single"/>
    </w:rPr>
  </w:style>
  <w:style w:type="character" w:styleId="UnresolvedMention1" w:customStyle="1">
    <w:name w:val="Unresolved Mention1"/>
    <w:basedOn w:val="Fuentedeprrafopredeter"/>
    <w:uiPriority w:val="99"/>
    <w:rsid w:val="00123549"/>
    <w:rPr>
      <w:color w:val="605e5c"/>
      <w:shd w:color="auto" w:fill="e1dfdd" w:val="clear"/>
    </w:rPr>
  </w:style>
  <w:style w:type="character" w:styleId="Hipervnculovisitado">
    <w:name w:val="FollowedHyperlink"/>
    <w:basedOn w:val="Fuentedeprrafopredeter"/>
    <w:uiPriority w:val="99"/>
    <w:semiHidden w:val="1"/>
    <w:unhideWhenUsed w:val="1"/>
    <w:rsid w:val="00123549"/>
    <w:rPr>
      <w:color w:val="919191" w:themeColor="followedHyperlink"/>
      <w:u w:val="single"/>
    </w:rPr>
  </w:style>
  <w:style w:type="character" w:styleId="Textoennegrita">
    <w:name w:val="Strong"/>
    <w:basedOn w:val="Fuentedeprrafopredeter"/>
    <w:uiPriority w:val="22"/>
    <w:qFormat w:val="1"/>
    <w:rsid w:val="00D657EE"/>
    <w:rPr>
      <w:b w:val="1"/>
      <w:bCs w:val="1"/>
    </w:rPr>
  </w:style>
  <w:style w:type="table" w:styleId="Tablaconcuadrcula">
    <w:name w:val="Table Grid"/>
    <w:basedOn w:val="Tablanormal"/>
    <w:uiPriority w:val="39"/>
    <w:rsid w:val="00D657E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olumnas4">
    <w:name w:val="Table Columns 4"/>
    <w:basedOn w:val="Tablanormal"/>
    <w:uiPriority w:val="99"/>
    <w:semiHidden w:val="1"/>
    <w:unhideWhenUsed w:val="1"/>
    <w:rsid w:val="00D657EE"/>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paragraph" w:styleId="Textodeglobo">
    <w:name w:val="Balloon Text"/>
    <w:basedOn w:val="Normal"/>
    <w:link w:val="TextodegloboCar"/>
    <w:uiPriority w:val="99"/>
    <w:semiHidden w:val="1"/>
    <w:unhideWhenUsed w:val="1"/>
    <w:rsid w:val="005B0774"/>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5B0774"/>
    <w:rPr>
      <w:rFonts w:ascii="Tahoma" w:cs="Tahoma" w:hAnsi="Tahoma"/>
      <w:sz w:val="16"/>
      <w:szCs w:val="16"/>
    </w:rPr>
  </w:style>
  <w:style w:type="paragraph" w:styleId="NormalWeb">
    <w:name w:val="Normal (Web)"/>
    <w:basedOn w:val="Normal"/>
    <w:uiPriority w:val="99"/>
    <w:semiHidden w:val="1"/>
    <w:unhideWhenUsed w:val="1"/>
    <w:rsid w:val="006D4EA7"/>
    <w:pPr>
      <w:spacing w:after="100" w:afterAutospacing="1" w:before="100" w:beforeAutospacing="1"/>
    </w:pPr>
    <w:rPr>
      <w:rFonts w:ascii="Times New Roman" w:cs="Times New Roman" w:eastAsia="Times New Roman" w:hAnsi="Times New Roman"/>
      <w:sz w:val="24"/>
      <w:szCs w:val="24"/>
      <w:lang w:eastAsia="ja-JP" w:val="en-US"/>
    </w:rPr>
  </w:style>
  <w:style w:type="character" w:styleId="Nmerodepgina">
    <w:name w:val="page number"/>
    <w:basedOn w:val="Fuentedeprrafopredeter"/>
    <w:rsid w:val="00A052DE"/>
  </w:style>
  <w:style w:type="paragraph" w:styleId="TDC1">
    <w:name w:val="toc 1"/>
    <w:basedOn w:val="Normal"/>
    <w:next w:val="Normal"/>
    <w:autoRedefine w:val="1"/>
    <w:uiPriority w:val="39"/>
    <w:rsid w:val="002C1382"/>
    <w:pPr>
      <w:tabs>
        <w:tab w:val="left" w:pos="426"/>
        <w:tab w:val="right" w:leader="dot" w:pos="8828"/>
      </w:tabs>
      <w:spacing w:line="360" w:lineRule="auto"/>
    </w:pPr>
    <w:rPr>
      <w:rFonts w:ascii="Verdana" w:cs="Times New Roman" w:eastAsia="Times New Roman" w:hAnsi="Verdana"/>
      <w:sz w:val="20"/>
      <w:szCs w:val="24"/>
      <w:lang w:eastAsia="en-US" w:val="en-US"/>
    </w:rPr>
  </w:style>
  <w:style w:type="paragraph" w:styleId="TDC2">
    <w:name w:val="toc 2"/>
    <w:basedOn w:val="Normal"/>
    <w:next w:val="Normal"/>
    <w:autoRedefine w:val="1"/>
    <w:uiPriority w:val="39"/>
    <w:rsid w:val="006F13E9"/>
    <w:pPr>
      <w:tabs>
        <w:tab w:val="left" w:pos="1134"/>
        <w:tab w:val="right" w:leader="dot" w:pos="8828"/>
      </w:tabs>
      <w:spacing w:line="360" w:lineRule="auto"/>
      <w:ind w:left="709"/>
    </w:pPr>
    <w:rPr>
      <w:rFonts w:ascii="Verdana" w:cs="Times New Roman" w:eastAsia="Times New Roman" w:hAnsi="Verdana"/>
      <w:sz w:val="20"/>
      <w:szCs w:val="24"/>
      <w:lang w:eastAsia="en-US" w:val="en-US"/>
    </w:rPr>
  </w:style>
  <w:style w:type="paragraph" w:styleId="TDC3">
    <w:name w:val="toc 3"/>
    <w:basedOn w:val="Normal"/>
    <w:next w:val="Normal"/>
    <w:autoRedefine w:val="1"/>
    <w:uiPriority w:val="39"/>
    <w:rsid w:val="00A052DE"/>
    <w:pPr>
      <w:spacing w:line="360" w:lineRule="auto"/>
      <w:ind w:left="480"/>
    </w:pPr>
    <w:rPr>
      <w:rFonts w:ascii="Verdana" w:cs="Times New Roman" w:eastAsia="Times New Roman" w:hAnsi="Verdana"/>
      <w:sz w:val="20"/>
      <w:szCs w:val="24"/>
      <w:lang w:eastAsia="en-US" w:val="en-US"/>
    </w:rPr>
  </w:style>
  <w:style w:type="paragraph" w:styleId="TDC4">
    <w:name w:val="toc 4"/>
    <w:basedOn w:val="Normal"/>
    <w:next w:val="Normal"/>
    <w:autoRedefine w:val="1"/>
    <w:uiPriority w:val="39"/>
    <w:rsid w:val="00A052DE"/>
    <w:pPr>
      <w:spacing w:line="360" w:lineRule="auto"/>
      <w:ind w:left="720"/>
    </w:pPr>
    <w:rPr>
      <w:rFonts w:ascii="Verdana" w:cs="Times New Roman" w:eastAsia="Times New Roman" w:hAnsi="Verdana"/>
      <w:sz w:val="20"/>
      <w:szCs w:val="24"/>
      <w:lang w:eastAsia="en-US" w:val="en-US"/>
    </w:rPr>
  </w:style>
  <w:style w:type="paragraph" w:styleId="Titulos" w:customStyle="1">
    <w:name w:val="Titulos"/>
    <w:basedOn w:val="Normal"/>
    <w:rsid w:val="00A052DE"/>
    <w:pPr>
      <w:spacing w:line="360" w:lineRule="auto"/>
    </w:pPr>
    <w:rPr>
      <w:rFonts w:ascii="Verdana" w:cs="Arial" w:eastAsia="Times New Roman" w:hAnsi="Verdana"/>
      <w:sz w:val="32"/>
      <w:szCs w:val="32"/>
      <w:lang w:eastAsia="en-US" w:val="es-MX"/>
    </w:rPr>
  </w:style>
  <w:style w:type="paragraph" w:styleId="Titulo1" w:customStyle="1">
    <w:name w:val="Titulo 1"/>
    <w:basedOn w:val="Normal"/>
    <w:rsid w:val="00A052DE"/>
    <w:pPr>
      <w:numPr>
        <w:numId w:val="1"/>
      </w:numPr>
      <w:spacing w:line="360" w:lineRule="auto"/>
    </w:pPr>
    <w:rPr>
      <w:rFonts w:ascii="Verdana" w:cs="Times New Roman" w:eastAsia="Times New Roman" w:hAnsi="Verdana"/>
      <w:b w:val="1"/>
      <w:sz w:val="20"/>
      <w:szCs w:val="24"/>
      <w:lang w:eastAsia="en-US" w:val="es-MX"/>
    </w:rPr>
  </w:style>
  <w:style w:type="paragraph" w:styleId="Contenido1" w:customStyle="1">
    <w:name w:val="Contenido 1"/>
    <w:basedOn w:val="Normal"/>
    <w:rsid w:val="00A052DE"/>
    <w:pPr>
      <w:spacing w:line="360" w:lineRule="auto"/>
      <w:ind w:left="360"/>
    </w:pPr>
    <w:rPr>
      <w:rFonts w:ascii="Verdana" w:cs="Times New Roman" w:eastAsia="Times New Roman" w:hAnsi="Verdana"/>
      <w:sz w:val="20"/>
      <w:szCs w:val="24"/>
      <w:lang w:eastAsia="en-US" w:val="es-MX"/>
    </w:rPr>
  </w:style>
  <w:style w:type="paragraph" w:styleId="Bullets1" w:customStyle="1">
    <w:name w:val="Bullets 1"/>
    <w:basedOn w:val="Normal"/>
    <w:rsid w:val="00A052DE"/>
    <w:pPr>
      <w:spacing w:line="360" w:lineRule="auto"/>
      <w:ind w:left="720" w:hanging="360"/>
    </w:pPr>
    <w:rPr>
      <w:rFonts w:ascii="Verdana" w:cs="Times New Roman" w:eastAsia="Times New Roman" w:hAnsi="Verdana"/>
      <w:sz w:val="20"/>
      <w:szCs w:val="24"/>
      <w:lang w:eastAsia="en-US" w:val="es-MX"/>
    </w:rPr>
  </w:style>
  <w:style w:type="paragraph" w:styleId="Subttlo11" w:customStyle="1">
    <w:name w:val="Subtítlo 1.1."/>
    <w:basedOn w:val="Normal"/>
    <w:rsid w:val="00A052DE"/>
    <w:pPr>
      <w:numPr>
        <w:ilvl w:val="1"/>
        <w:numId w:val="1"/>
      </w:numPr>
      <w:tabs>
        <w:tab w:val="num" w:pos="792"/>
        <w:tab w:val="left" w:pos="900"/>
      </w:tabs>
      <w:spacing w:line="360" w:lineRule="auto"/>
      <w:ind w:left="792"/>
    </w:pPr>
    <w:rPr>
      <w:rFonts w:ascii="Verdana" w:cs="Times New Roman" w:eastAsia="Times New Roman" w:hAnsi="Verdana"/>
      <w:b w:val="1"/>
      <w:sz w:val="20"/>
      <w:szCs w:val="24"/>
      <w:lang w:eastAsia="en-US" w:val="es-MX"/>
    </w:rPr>
  </w:style>
  <w:style w:type="paragraph" w:styleId="Contenido11" w:customStyle="1">
    <w:name w:val="Contenido 1.1."/>
    <w:basedOn w:val="Normal"/>
    <w:rsid w:val="00A052DE"/>
    <w:pPr>
      <w:tabs>
        <w:tab w:val="left" w:pos="900"/>
      </w:tabs>
      <w:spacing w:line="360" w:lineRule="auto"/>
      <w:ind w:left="900"/>
    </w:pPr>
    <w:rPr>
      <w:rFonts w:ascii="Verdana" w:cs="Times New Roman" w:eastAsia="Times New Roman" w:hAnsi="Verdana"/>
      <w:sz w:val="20"/>
      <w:szCs w:val="24"/>
      <w:lang w:eastAsia="en-US" w:val="es-MX"/>
    </w:rPr>
  </w:style>
  <w:style w:type="paragraph" w:styleId="Bullets11" w:customStyle="1">
    <w:name w:val="Bullets 1.1."/>
    <w:basedOn w:val="Normal"/>
    <w:rsid w:val="00A052DE"/>
    <w:pPr>
      <w:spacing w:line="360" w:lineRule="auto"/>
      <w:ind w:left="1260" w:hanging="360"/>
    </w:pPr>
    <w:rPr>
      <w:rFonts w:ascii="Verdana" w:cs="Times New Roman" w:eastAsia="Times New Roman" w:hAnsi="Verdana"/>
      <w:sz w:val="20"/>
      <w:szCs w:val="24"/>
      <w:lang w:eastAsia="en-US" w:val="es-MX"/>
    </w:rPr>
  </w:style>
  <w:style w:type="paragraph" w:styleId="Subttulo111" w:customStyle="1">
    <w:name w:val="Subtítulo 1.1.1."/>
    <w:basedOn w:val="Normal"/>
    <w:rsid w:val="00A052DE"/>
    <w:pPr>
      <w:numPr>
        <w:ilvl w:val="2"/>
        <w:numId w:val="1"/>
      </w:numPr>
      <w:tabs>
        <w:tab w:val="left" w:pos="900"/>
      </w:tabs>
      <w:spacing w:line="360" w:lineRule="auto"/>
    </w:pPr>
    <w:rPr>
      <w:rFonts w:ascii="Verdana" w:cs="Times New Roman" w:eastAsia="Times New Roman" w:hAnsi="Verdana"/>
      <w:b w:val="1"/>
      <w:sz w:val="20"/>
      <w:szCs w:val="24"/>
      <w:lang w:eastAsia="en-US" w:val="es-MX"/>
    </w:rPr>
  </w:style>
  <w:style w:type="paragraph" w:styleId="Bullets111" w:customStyle="1">
    <w:name w:val="Bullets 1.1.1."/>
    <w:basedOn w:val="Normal"/>
    <w:rsid w:val="00A052DE"/>
    <w:pPr>
      <w:spacing w:line="360" w:lineRule="auto"/>
      <w:ind w:left="1800" w:hanging="360"/>
    </w:pPr>
    <w:rPr>
      <w:rFonts w:ascii="Verdana" w:cs="Times New Roman" w:eastAsia="Times New Roman" w:hAnsi="Verdana"/>
      <w:sz w:val="20"/>
      <w:szCs w:val="24"/>
      <w:lang w:eastAsia="en-US" w:val="es-MX"/>
    </w:rPr>
  </w:style>
  <w:style w:type="paragraph" w:styleId="Contenido111" w:customStyle="1">
    <w:name w:val="Contenido 1.1.1."/>
    <w:basedOn w:val="Normal"/>
    <w:rsid w:val="00A052DE"/>
    <w:pPr>
      <w:tabs>
        <w:tab w:val="left" w:pos="1440"/>
      </w:tabs>
      <w:spacing w:line="360" w:lineRule="auto"/>
      <w:ind w:left="1440"/>
    </w:pPr>
    <w:rPr>
      <w:rFonts w:ascii="Verdana" w:cs="Times New Roman" w:eastAsia="Times New Roman" w:hAnsi="Verdana"/>
      <w:sz w:val="20"/>
      <w:szCs w:val="24"/>
      <w:lang w:eastAsia="en-US" w:val="es-MX"/>
    </w:rPr>
  </w:style>
  <w:style w:type="paragraph" w:styleId="Subttulo1111" w:customStyle="1">
    <w:name w:val="Subtítulo 1.1.1.1."/>
    <w:basedOn w:val="Normal"/>
    <w:rsid w:val="00A052DE"/>
    <w:pPr>
      <w:numPr>
        <w:ilvl w:val="3"/>
        <w:numId w:val="1"/>
      </w:numPr>
      <w:tabs>
        <w:tab w:val="left" w:pos="900"/>
      </w:tabs>
      <w:spacing w:line="360" w:lineRule="auto"/>
    </w:pPr>
    <w:rPr>
      <w:rFonts w:ascii="Verdana" w:cs="Times New Roman" w:eastAsia="Times New Roman" w:hAnsi="Verdana"/>
      <w:b w:val="1"/>
      <w:sz w:val="20"/>
      <w:szCs w:val="24"/>
      <w:lang w:eastAsia="en-US" w:val="es-MX"/>
    </w:rPr>
  </w:style>
  <w:style w:type="paragraph" w:styleId="Contenido1111" w:customStyle="1">
    <w:name w:val="Contenido 1.1.1.1."/>
    <w:basedOn w:val="Normal"/>
    <w:rsid w:val="00A052DE"/>
    <w:pPr>
      <w:tabs>
        <w:tab w:val="left" w:pos="900"/>
      </w:tabs>
      <w:spacing w:line="360" w:lineRule="auto"/>
      <w:ind w:left="2160"/>
    </w:pPr>
    <w:rPr>
      <w:rFonts w:ascii="Verdana" w:cs="Times New Roman" w:eastAsia="Times New Roman" w:hAnsi="Verdana"/>
      <w:sz w:val="20"/>
      <w:szCs w:val="24"/>
      <w:lang w:eastAsia="en-US" w:val="es-MX"/>
    </w:rPr>
  </w:style>
  <w:style w:type="paragraph" w:styleId="Bullets1111" w:customStyle="1">
    <w:name w:val="Bullets 1.1.1.1."/>
    <w:basedOn w:val="Normal"/>
    <w:rsid w:val="00A052DE"/>
    <w:pPr>
      <w:numPr>
        <w:numId w:val="2"/>
      </w:numPr>
      <w:spacing w:line="360" w:lineRule="auto"/>
    </w:pPr>
    <w:rPr>
      <w:rFonts w:ascii="Verdana" w:cs="Times New Roman" w:eastAsia="Times New Roman" w:hAnsi="Verdana"/>
      <w:sz w:val="20"/>
      <w:szCs w:val="24"/>
      <w:lang w:eastAsia="en-US" w:val="es-MX"/>
    </w:rPr>
  </w:style>
  <w:style w:type="paragraph" w:styleId="ContenidoTablas" w:customStyle="1">
    <w:name w:val="Contenido Tablas"/>
    <w:basedOn w:val="Contenido11"/>
    <w:rsid w:val="00A052DE"/>
    <w:pPr>
      <w:ind w:left="0"/>
    </w:pPr>
    <w:rPr>
      <w:sz w:val="16"/>
      <w:szCs w:val="16"/>
    </w:rPr>
  </w:style>
  <w:style w:type="paragraph" w:styleId="TtuloTablas" w:customStyle="1">
    <w:name w:val="Título Tablas"/>
    <w:basedOn w:val="Contenido11"/>
    <w:rsid w:val="00A052DE"/>
    <w:pPr>
      <w:ind w:left="0"/>
    </w:pPr>
    <w:rPr>
      <w:color w:val="ffffff"/>
      <w:sz w:val="18"/>
    </w:rPr>
  </w:style>
  <w:style w:type="table" w:styleId="Listaclara-nfasis5">
    <w:name w:val="Light List Accent 5"/>
    <w:basedOn w:val="Tablanormal"/>
    <w:uiPriority w:val="61"/>
    <w:rsid w:val="00A052DE"/>
    <w:tblPr>
      <w:tblStyleRowBandSize w:val="1"/>
      <w:tblStyleColBandSize w:val="1"/>
      <w:tblBorders>
        <w:top w:color="5f5f5f" w:space="0" w:sz="8" w:themeColor="accent5" w:val="single"/>
        <w:left w:color="5f5f5f" w:space="0" w:sz="8" w:themeColor="accent5" w:val="single"/>
        <w:bottom w:color="5f5f5f" w:space="0" w:sz="8" w:themeColor="accent5" w:val="single"/>
        <w:right w:color="5f5f5f" w:space="0" w:sz="8" w:themeColor="accent5" w:val="single"/>
      </w:tblBorders>
    </w:tblPr>
    <w:tblStylePr w:type="firstRow">
      <w:pPr>
        <w:spacing w:after="0" w:before="0" w:line="240" w:lineRule="auto"/>
      </w:pPr>
      <w:rPr>
        <w:b w:val="1"/>
        <w:bCs w:val="1"/>
        <w:color w:val="ffffff" w:themeColor="background1"/>
      </w:rPr>
      <w:tblPr/>
      <w:tcPr>
        <w:shd w:color="auto" w:fill="5f5f5f" w:themeFill="accent5" w:val="clear"/>
      </w:tcPr>
    </w:tblStylePr>
    <w:tblStylePr w:type="lastRow">
      <w:pPr>
        <w:spacing w:after="0" w:before="0" w:line="240" w:lineRule="auto"/>
      </w:pPr>
      <w:rPr>
        <w:b w:val="1"/>
        <w:bCs w:val="1"/>
      </w:rPr>
      <w:tblPr/>
      <w:tcPr>
        <w:tcBorders>
          <w:top w:color="5f5f5f" w:space="0" w:sz="6" w:themeColor="accent5" w:val="double"/>
          <w:left w:color="5f5f5f" w:space="0" w:sz="8" w:themeColor="accent5" w:val="single"/>
          <w:bottom w:color="5f5f5f" w:space="0" w:sz="8" w:themeColor="accent5" w:val="single"/>
          <w:right w:color="5f5f5f" w:space="0" w:sz="8" w:themeColor="accent5" w:val="single"/>
        </w:tcBorders>
      </w:tcPr>
    </w:tblStylePr>
    <w:tblStylePr w:type="firstCol">
      <w:rPr>
        <w:b w:val="1"/>
        <w:bCs w:val="1"/>
      </w:rPr>
    </w:tblStylePr>
    <w:tblStylePr w:type="lastCol">
      <w:rPr>
        <w:b w:val="1"/>
        <w:bCs w:val="1"/>
      </w:rPr>
    </w:tblStylePr>
    <w:tblStylePr w:type="band1Vert">
      <w:tblPr/>
      <w:tcPr>
        <w:tcBorders>
          <w:top w:color="5f5f5f" w:space="0" w:sz="8" w:themeColor="accent5" w:val="single"/>
          <w:left w:color="5f5f5f" w:space="0" w:sz="8" w:themeColor="accent5" w:val="single"/>
          <w:bottom w:color="5f5f5f" w:space="0" w:sz="8" w:themeColor="accent5" w:val="single"/>
          <w:right w:color="5f5f5f" w:space="0" w:sz="8" w:themeColor="accent5" w:val="single"/>
        </w:tcBorders>
      </w:tcPr>
    </w:tblStylePr>
    <w:tblStylePr w:type="band1Horz">
      <w:tblPr/>
      <w:tcPr>
        <w:tcBorders>
          <w:top w:color="5f5f5f" w:space="0" w:sz="8" w:themeColor="accent5" w:val="single"/>
          <w:left w:color="5f5f5f" w:space="0" w:sz="8" w:themeColor="accent5" w:val="single"/>
          <w:bottom w:color="5f5f5f" w:space="0" w:sz="8" w:themeColor="accent5" w:val="single"/>
          <w:right w:color="5f5f5f" w:space="0" w:sz="8" w:themeColor="accent5" w:val="single"/>
        </w:tcBorders>
      </w:tcPr>
    </w:tblStylePr>
  </w:style>
  <w:style w:type="table" w:styleId="Listaclara-nfasis4">
    <w:name w:val="Light List Accent 4"/>
    <w:basedOn w:val="Tablanormal"/>
    <w:uiPriority w:val="61"/>
    <w:rsid w:val="00EF6B3C"/>
    <w:tblPr>
      <w:tblStyleRowBandSize w:val="1"/>
      <w:tblStyleColBandSize w:val="1"/>
      <w:tblBorders>
        <w:top w:color="808080" w:space="0" w:sz="8" w:themeColor="accent4" w:val="single"/>
        <w:left w:color="808080" w:space="0" w:sz="8" w:themeColor="accent4" w:val="single"/>
        <w:bottom w:color="808080" w:space="0" w:sz="8" w:themeColor="accent4" w:val="single"/>
        <w:right w:color="808080" w:space="0" w:sz="8" w:themeColor="accent4" w:val="single"/>
      </w:tblBorders>
    </w:tblPr>
    <w:tblStylePr w:type="firstRow">
      <w:pPr>
        <w:spacing w:after="0" w:before="0" w:line="240" w:lineRule="auto"/>
      </w:pPr>
      <w:rPr>
        <w:b w:val="1"/>
        <w:bCs w:val="1"/>
        <w:color w:val="ffffff" w:themeColor="background1"/>
      </w:rPr>
      <w:tblPr/>
      <w:tcPr>
        <w:shd w:color="auto" w:fill="808080" w:themeFill="accent4" w:val="clear"/>
      </w:tcPr>
    </w:tblStylePr>
    <w:tblStylePr w:type="lastRow">
      <w:pPr>
        <w:spacing w:after="0" w:before="0" w:line="240" w:lineRule="auto"/>
      </w:pPr>
      <w:rPr>
        <w:b w:val="1"/>
        <w:bCs w:val="1"/>
      </w:rPr>
      <w:tblPr/>
      <w:tcPr>
        <w:tcBorders>
          <w:top w:color="808080" w:space="0" w:sz="6" w:themeColor="accent4" w:val="double"/>
          <w:left w:color="808080" w:space="0" w:sz="8" w:themeColor="accent4" w:val="single"/>
          <w:bottom w:color="808080" w:space="0" w:sz="8" w:themeColor="accent4" w:val="single"/>
          <w:right w:color="808080" w:space="0" w:sz="8" w:themeColor="accent4" w:val="single"/>
        </w:tcBorders>
      </w:tcPr>
    </w:tblStylePr>
    <w:tblStylePr w:type="firstCol">
      <w:rPr>
        <w:b w:val="1"/>
        <w:bCs w:val="1"/>
      </w:rPr>
    </w:tblStylePr>
    <w:tblStylePr w:type="lastCol">
      <w:rPr>
        <w:b w:val="1"/>
        <w:bCs w:val="1"/>
      </w:rPr>
    </w:tblStylePr>
    <w:tblStylePr w:type="band1Vert">
      <w:tblPr/>
      <w:tcPr>
        <w:tcBorders>
          <w:top w:color="808080" w:space="0" w:sz="8" w:themeColor="accent4" w:val="single"/>
          <w:left w:color="808080" w:space="0" w:sz="8" w:themeColor="accent4" w:val="single"/>
          <w:bottom w:color="808080" w:space="0" w:sz="8" w:themeColor="accent4" w:val="single"/>
          <w:right w:color="808080" w:space="0" w:sz="8" w:themeColor="accent4" w:val="single"/>
        </w:tcBorders>
      </w:tcPr>
    </w:tblStylePr>
    <w:tblStylePr w:type="band1Horz">
      <w:tblPr/>
      <w:tcPr>
        <w:tcBorders>
          <w:top w:color="808080" w:space="0" w:sz="8" w:themeColor="accent4" w:val="single"/>
          <w:left w:color="808080" w:space="0" w:sz="8" w:themeColor="accent4" w:val="single"/>
          <w:bottom w:color="808080" w:space="0" w:sz="8" w:themeColor="accent4" w:val="single"/>
          <w:right w:color="808080" w:space="0" w:sz="8" w:themeColor="accent4" w:val="single"/>
        </w:tcBorders>
      </w:tcPr>
    </w:tblStylePr>
  </w:style>
  <w:style w:type="paragraph" w:styleId="Polticas" w:customStyle="1">
    <w:name w:val="Políticas"/>
    <w:basedOn w:val="Normal"/>
    <w:autoRedefine w:val="1"/>
    <w:rsid w:val="005178C4"/>
    <w:pPr>
      <w:numPr>
        <w:numId w:val="3"/>
      </w:numPr>
      <w:autoSpaceDE w:val="0"/>
      <w:autoSpaceDN w:val="0"/>
      <w:adjustRightInd w:val="0"/>
      <w:spacing w:line="360" w:lineRule="auto"/>
    </w:pPr>
    <w:rPr>
      <w:rFonts w:ascii="Verdana" w:cs="Arial" w:eastAsia="Times New Roman" w:hAnsi="Verdana"/>
      <w:bCs w:val="1"/>
      <w:sz w:val="20"/>
      <w:szCs w:val="20"/>
      <w:lang w:eastAsia="en-US" w:val="es-MX"/>
    </w:rPr>
  </w:style>
  <w:style w:type="paragraph" w:styleId="FaseProceso" w:customStyle="1">
    <w:name w:val="Fase/Proceso"/>
    <w:basedOn w:val="Titulo1"/>
    <w:rsid w:val="008F52A8"/>
    <w:pPr>
      <w:numPr>
        <w:numId w:val="0"/>
      </w:numPr>
    </w:pPr>
  </w:style>
  <w:style w:type="paragraph" w:styleId="TableTxt" w:customStyle="1">
    <w:name w:val="Table Txt"/>
    <w:basedOn w:val="Normal"/>
    <w:rsid w:val="00467CAB"/>
    <w:pPr>
      <w:ind w:left="72" w:right="72"/>
    </w:pPr>
    <w:rPr>
      <w:rFonts w:ascii="Arial" w:cs="Times New Roman" w:eastAsia="Times New Roman" w:hAnsi="Arial"/>
      <w:color w:val="003366"/>
      <w:sz w:val="16"/>
      <w:szCs w:val="24"/>
      <w:lang w:eastAsia="en-US" w:val="es-MX"/>
    </w:rPr>
  </w:style>
  <w:style w:type="paragraph" w:styleId="TableHeading" w:customStyle="1">
    <w:name w:val="Table Heading"/>
    <w:basedOn w:val="TableTxt"/>
    <w:rsid w:val="00467CAB"/>
    <w:rPr>
      <w:b w:val="1"/>
      <w:bCs w:val="1"/>
    </w:rPr>
  </w:style>
  <w:style w:type="character" w:styleId="Ttulo1Car" w:customStyle="1">
    <w:name w:val="Título 1 Car"/>
    <w:basedOn w:val="Fuentedeprrafopredeter"/>
    <w:link w:val="Ttulo1"/>
    <w:uiPriority w:val="9"/>
    <w:rsid w:val="00283B98"/>
    <w:rPr>
      <w:rFonts w:ascii="Museo Sans 300" w:cs="Times New Roman" w:eastAsia="Times New Roman" w:hAnsi="Museo Sans 300"/>
      <w:b w:val="1"/>
      <w:sz w:val="22"/>
      <w:szCs w:val="24"/>
      <w:lang w:eastAsia="en-US" w:val="es-MX"/>
    </w:rPr>
  </w:style>
  <w:style w:type="paragraph" w:styleId="formtext" w:customStyle="1">
    <w:name w:val="form text"/>
    <w:basedOn w:val="Normal"/>
    <w:rsid w:val="00FD384E"/>
    <w:rPr>
      <w:rFonts w:ascii="Times New Roman" w:cs="Times New Roman" w:eastAsia="Times New Roman" w:hAnsi="Times New Roman"/>
      <w:b w:val="1"/>
      <w:i w:val="1"/>
      <w:sz w:val="22"/>
      <w:szCs w:val="20"/>
      <w:lang w:eastAsia="en-US" w:val="en-US"/>
    </w:rPr>
  </w:style>
  <w:style w:type="character" w:styleId="Ttulo3Car" w:customStyle="1">
    <w:name w:val="Título 3 Car"/>
    <w:basedOn w:val="Fuentedeprrafopredeter"/>
    <w:link w:val="Ttulo3"/>
    <w:semiHidden w:val="1"/>
    <w:rsid w:val="00A1355F"/>
    <w:rPr>
      <w:rFonts w:ascii="Cambria" w:cs="Times New Roman" w:eastAsia="Times New Roman" w:hAnsi="Cambria"/>
      <w:b w:val="1"/>
      <w:bCs w:val="1"/>
      <w:color w:val="auto"/>
      <w:sz w:val="26"/>
      <w:szCs w:val="26"/>
    </w:rPr>
  </w:style>
  <w:style w:type="paragraph" w:styleId="Textodebloque">
    <w:name w:val="Block Text"/>
    <w:basedOn w:val="Normal"/>
    <w:rsid w:val="00A1355F"/>
    <w:pPr>
      <w:spacing w:after="60" w:before="60"/>
      <w:ind w:left="72" w:right="72"/>
    </w:pPr>
    <w:rPr>
      <w:rFonts w:ascii="Arial" w:cs="Times New Roman" w:eastAsia="Times New Roman" w:hAnsi="Arial"/>
      <w:i w:val="1"/>
      <w:sz w:val="18"/>
      <w:szCs w:val="20"/>
      <w:lang w:eastAsia="es-MX" w:val="en-US"/>
    </w:rPr>
  </w:style>
  <w:style w:type="table" w:styleId="TablaPemex" w:customStyle="1">
    <w:name w:val="TablaPemex"/>
    <w:basedOn w:val="Tablanormal"/>
    <w:rsid w:val="0024355A"/>
    <w:rPr>
      <w:rFonts w:ascii="Arial" w:cs="Times New Roman" w:eastAsia="Times New Roman" w:hAnsi="Arial"/>
      <w:sz w:val="16"/>
      <w:szCs w:val="20"/>
      <w:lang w:eastAsia="en-US" w:val="en-US"/>
    </w:rPr>
    <w:tblPr>
      <w:tblBorders>
        <w:left w:color="009999" w:space="0" w:sz="2" w:val="single"/>
        <w:bottom w:color="009999" w:space="0" w:sz="2" w:val="single"/>
        <w:right w:color="009999" w:space="0" w:sz="2" w:val="single"/>
        <w:insideH w:color="009999" w:space="0" w:sz="4" w:val="dotted"/>
        <w:insideV w:color="009999" w:space="0" w:sz="4" w:val="dotted"/>
      </w:tblBorders>
    </w:tblPr>
    <w:trPr>
      <w:cantSplit w:val="1"/>
    </w:trPr>
    <w:tblStylePr w:type="firstRow">
      <w:pPr>
        <w:wordWrap w:val="1"/>
        <w:spacing w:afterAutospacing="0" w:afterLines="0" w:beforeAutospacing="0" w:beforeLines="0"/>
        <w:jc w:val="center"/>
        <w:outlineLvl w:val="9"/>
      </w:pPr>
      <w:rPr>
        <w:b w:val="1"/>
        <w:color w:val="ffffff"/>
        <w:sz w:val="20"/>
      </w:rPr>
      <w:tblPr/>
      <w:tcPr>
        <w:tcBorders>
          <w:top w:color="ffffff" w:space="0" w:sz="4" w:val="single"/>
          <w:left w:color="ffffff" w:space="0" w:sz="4" w:val="single"/>
          <w:bottom w:space="0" w:sz="0" w:val="nil"/>
          <w:right w:color="ffffff" w:space="0" w:sz="4" w:val="single"/>
          <w:insideH w:color="ffffff" w:space="0" w:sz="4" w:val="single"/>
          <w:insideV w:color="ffffff" w:space="0" w:sz="4" w:val="single"/>
        </w:tcBorders>
        <w:shd w:color="auto" w:fill="009999" w:val="clear"/>
      </w:tcPr>
    </w:tblStylePr>
  </w:style>
  <w:style w:type="paragraph" w:styleId="Picture" w:customStyle="1">
    <w:name w:val="Picture"/>
    <w:basedOn w:val="Textoindependiente"/>
    <w:rsid w:val="00941DC4"/>
    <w:pPr>
      <w:keepNext w:val="1"/>
      <w:spacing w:after="0"/>
    </w:pPr>
    <w:rPr>
      <w:rFonts w:ascii="Arial" w:cs="Arial" w:eastAsia="Times New Roman" w:hAnsi="Arial"/>
      <w:sz w:val="20"/>
      <w:szCs w:val="20"/>
      <w:lang w:eastAsia="en-US" w:val="en-US"/>
    </w:rPr>
  </w:style>
  <w:style w:type="paragraph" w:styleId="InstruccionesTabla" w:customStyle="1">
    <w:name w:val="InstruccionesTabla"/>
    <w:basedOn w:val="Normal"/>
    <w:next w:val="Normal"/>
    <w:rsid w:val="00941DC4"/>
    <w:pPr>
      <w:spacing w:after="60" w:before="60"/>
      <w:ind w:left="72"/>
      <w:jc w:val="both"/>
    </w:pPr>
    <w:rPr>
      <w:rFonts w:ascii="Arial" w:cs="Times New Roman" w:eastAsia="Times New Roman" w:hAnsi="Arial"/>
      <w:i w:val="1"/>
      <w:color w:val="0000ff"/>
      <w:sz w:val="16"/>
      <w:szCs w:val="24"/>
      <w:lang w:eastAsia="en-US" w:val="es-MX"/>
    </w:rPr>
  </w:style>
  <w:style w:type="paragraph" w:styleId="Textoindependiente">
    <w:name w:val="Body Text"/>
    <w:basedOn w:val="Normal"/>
    <w:link w:val="TextoindependienteCar"/>
    <w:uiPriority w:val="99"/>
    <w:semiHidden w:val="1"/>
    <w:unhideWhenUsed w:val="1"/>
    <w:rsid w:val="00941DC4"/>
    <w:pPr>
      <w:spacing w:after="120"/>
    </w:pPr>
  </w:style>
  <w:style w:type="character" w:styleId="TextoindependienteCar" w:customStyle="1">
    <w:name w:val="Texto independiente Car"/>
    <w:basedOn w:val="Fuentedeprrafopredeter"/>
    <w:link w:val="Textoindependiente"/>
    <w:uiPriority w:val="99"/>
    <w:semiHidden w:val="1"/>
    <w:rsid w:val="00941DC4"/>
  </w:style>
  <w:style w:type="paragraph" w:styleId="Prrafodelista">
    <w:name w:val="List Paragraph"/>
    <w:aliases w:val="Texto,List Paragraph1,Párrafo de lista1,Bullet 1,Use Case List Paragraph,lp1,Bullet List,FooterText,numbered,Paragraphe de liste1,Iz - Párrafo de lista,Sivsa Parrafo,Fundamentacion,Titulo de Fígura,TITULO A,Bulleted List,Ref,EG Bullet 1"/>
    <w:basedOn w:val="Normal"/>
    <w:link w:val="PrrafodelistaCar"/>
    <w:uiPriority w:val="34"/>
    <w:qFormat w:val="1"/>
    <w:rsid w:val="00804C82"/>
    <w:pPr>
      <w:ind w:left="720"/>
    </w:pPr>
    <w:rPr>
      <w:rFonts w:ascii="Calibri" w:cs="Calibri" w:hAnsi="Calibri" w:eastAsiaTheme="minorEastAsia"/>
      <w:sz w:val="22"/>
      <w:szCs w:val="22"/>
      <w:lang w:val="es-MX"/>
    </w:rPr>
  </w:style>
  <w:style w:type="character" w:styleId="UnresolvedMention2" w:customStyle="1">
    <w:name w:val="Unresolved Mention2"/>
    <w:basedOn w:val="Fuentedeprrafopredeter"/>
    <w:uiPriority w:val="99"/>
    <w:semiHidden w:val="1"/>
    <w:unhideWhenUsed w:val="1"/>
    <w:rsid w:val="00117D3A"/>
    <w:rPr>
      <w:color w:val="605e5c"/>
      <w:shd w:color="auto" w:fill="e1dfdd" w:val="clear"/>
    </w:rPr>
  </w:style>
  <w:style w:type="paragraph" w:styleId="Textosinformato">
    <w:name w:val="Plain Text"/>
    <w:basedOn w:val="Normal"/>
    <w:link w:val="TextosinformatoCar"/>
    <w:uiPriority w:val="99"/>
    <w:semiHidden w:val="1"/>
    <w:unhideWhenUsed w:val="1"/>
    <w:rsid w:val="00B35933"/>
    <w:rPr>
      <w:rFonts w:ascii="Calibri" w:hAnsi="Calibri" w:cstheme="minorBidi" w:eastAsiaTheme="minorHAnsi"/>
      <w:sz w:val="22"/>
      <w:lang w:eastAsia="en-US" w:val="en-US"/>
    </w:rPr>
  </w:style>
  <w:style w:type="character" w:styleId="TextosinformatoCar" w:customStyle="1">
    <w:name w:val="Texto sin formato Car"/>
    <w:basedOn w:val="Fuentedeprrafopredeter"/>
    <w:link w:val="Textosinformato"/>
    <w:uiPriority w:val="99"/>
    <w:semiHidden w:val="1"/>
    <w:rsid w:val="00B35933"/>
    <w:rPr>
      <w:rFonts w:ascii="Calibri" w:hAnsi="Calibri" w:cstheme="minorBidi" w:eastAsiaTheme="minorHAnsi"/>
      <w:color w:val="auto"/>
      <w:sz w:val="22"/>
      <w:lang w:eastAsia="en-US" w:val="en-US"/>
    </w:rPr>
  </w:style>
  <w:style w:type="character" w:styleId="PrrafodelistaCar" w:customStyle="1">
    <w:name w:val="Párrafo de lista Car"/>
    <w:aliases w:val="Texto Car,List Paragraph1 Car,Párrafo de lista1 Car,Bullet 1 Car,Use Case List Paragraph Car,lp1 Car,Bullet List Car,FooterText Car,numbered Car,Paragraphe de liste1 Car,Iz - Párrafo de lista Car,Sivsa Parrafo Car,Fundamentacion Car"/>
    <w:link w:val="Prrafodelista"/>
    <w:uiPriority w:val="99"/>
    <w:qFormat w:val="1"/>
    <w:locked w:val="1"/>
    <w:rsid w:val="00BD6E85"/>
    <w:rPr>
      <w:rFonts w:ascii="Calibri" w:cs="Calibri" w:hAnsi="Calibri" w:eastAsiaTheme="minorEastAsia"/>
      <w:color w:val="auto"/>
      <w:sz w:val="22"/>
      <w:szCs w:val="22"/>
      <w:lang w:val="es-MX"/>
    </w:rPr>
  </w:style>
  <w:style w:type="paragraph" w:styleId="Parrafo" w:customStyle="1">
    <w:name w:val="Parrafo"/>
    <w:basedOn w:val="Normal"/>
    <w:qFormat w:val="1"/>
    <w:rsid w:val="00657494"/>
    <w:pPr>
      <w:spacing w:after="40" w:before="40"/>
      <w:jc w:val="both"/>
    </w:pPr>
    <w:rPr>
      <w:rFonts w:ascii="Arial" w:cs="Arial" w:eastAsia="Times New Roman" w:hAnsi="Arial"/>
      <w:sz w:val="20"/>
      <w:szCs w:val="22"/>
      <w:lang w:eastAsia="ja-JP" w:val="es-ES"/>
    </w:rPr>
  </w:style>
  <w:style w:type="table" w:styleId="LightList-Accent11" w:customStyle="1">
    <w:name w:val="Light List - Accent 11"/>
    <w:basedOn w:val="Tablanormal"/>
    <w:uiPriority w:val="61"/>
    <w:rsid w:val="00657494"/>
    <w:rPr>
      <w:rFonts w:ascii="Calibri" w:cs="Times New Roman" w:eastAsia="Calibri" w:hAnsi="Calibri"/>
      <w:sz w:val="20"/>
      <w:szCs w:val="20"/>
    </w:rPr>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Tabladelista3">
    <w:name w:val="List Table 3"/>
    <w:basedOn w:val="Tablanormal"/>
    <w:uiPriority w:val="48"/>
    <w:rsid w:val="00657494"/>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Tabladelista3-nfasis5">
    <w:name w:val="List Table 3 Accent 5"/>
    <w:basedOn w:val="Tablanormal"/>
    <w:uiPriority w:val="48"/>
    <w:rsid w:val="00FD59DA"/>
    <w:tblPr>
      <w:tblStyleRowBandSize w:val="1"/>
      <w:tblStyleColBandSize w:val="1"/>
      <w:tblBorders>
        <w:top w:color="5f5f5f" w:space="0" w:sz="4" w:themeColor="accent5" w:val="single"/>
        <w:left w:color="5f5f5f" w:space="0" w:sz="4" w:themeColor="accent5" w:val="single"/>
        <w:bottom w:color="5f5f5f" w:space="0" w:sz="4" w:themeColor="accent5" w:val="single"/>
        <w:right w:color="5f5f5f" w:space="0" w:sz="4" w:themeColor="accent5" w:val="single"/>
      </w:tblBorders>
    </w:tblPr>
    <w:tblStylePr w:type="firstRow">
      <w:rPr>
        <w:b w:val="1"/>
        <w:bCs w:val="1"/>
        <w:color w:val="ffffff" w:themeColor="background1"/>
      </w:rPr>
      <w:tblPr/>
      <w:tcPr>
        <w:shd w:color="auto" w:fill="5f5f5f" w:themeFill="accent5" w:val="clear"/>
      </w:tcPr>
    </w:tblStylePr>
    <w:tblStylePr w:type="lastRow">
      <w:rPr>
        <w:b w:val="1"/>
        <w:bCs w:val="1"/>
      </w:rPr>
      <w:tblPr/>
      <w:tcPr>
        <w:tcBorders>
          <w:top w:color="5f5f5f"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f5f5f" w:space="0" w:sz="4" w:themeColor="accent5" w:val="single"/>
          <w:right w:color="5f5f5f" w:space="0" w:sz="4" w:themeColor="accent5" w:val="single"/>
        </w:tcBorders>
      </w:tcPr>
    </w:tblStylePr>
    <w:tblStylePr w:type="band1Horz">
      <w:tblPr/>
      <w:tcPr>
        <w:tcBorders>
          <w:top w:color="5f5f5f" w:space="0" w:sz="4" w:themeColor="accent5" w:val="single"/>
          <w:bottom w:color="5f5f5f"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f5f5f" w:space="0" w:sz="4" w:themeColor="accent5" w:val="double"/>
          <w:left w:space="0" w:sz="0" w:val="nil"/>
        </w:tcBorders>
      </w:tcPr>
    </w:tblStylePr>
    <w:tblStylePr w:type="swCell">
      <w:tblPr/>
      <w:tcPr>
        <w:tcBorders>
          <w:top w:color="5f5f5f" w:space="0" w:sz="4" w:themeColor="accent5" w:val="double"/>
          <w:right w:space="0" w:sz="0" w:val="nil"/>
        </w:tcBorders>
      </w:tcPr>
    </w:tblStylePr>
  </w:style>
  <w:style w:type="paragraph" w:styleId="TtuloTDC">
    <w:name w:val="TOC Heading"/>
    <w:basedOn w:val="Ttulo1"/>
    <w:next w:val="Normal"/>
    <w:uiPriority w:val="39"/>
    <w:unhideWhenUsed w:val="1"/>
    <w:qFormat w:val="1"/>
    <w:rsid w:val="00393D5D"/>
    <w:pPr>
      <w:keepNext w:val="1"/>
      <w:keepLines w:val="1"/>
      <w:spacing w:before="240" w:line="259" w:lineRule="auto"/>
      <w:outlineLvl w:val="9"/>
    </w:pPr>
    <w:rPr>
      <w:rFonts w:asciiTheme="majorHAnsi" w:cstheme="majorBidi" w:eastAsiaTheme="majorEastAsia" w:hAnsiTheme="majorHAnsi"/>
      <w:b w:val="0"/>
      <w:color w:val="a5a5a5" w:themeColor="accent1" w:themeShade="0000BF"/>
      <w:sz w:val="32"/>
      <w:szCs w:val="32"/>
      <w:lang w:eastAsia="es-CO"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4.0" w:type="dxa"/>
        <w:left w:w="115.0" w:type="dxa"/>
        <w:bottom w:w="14.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rPr>
      <w:rFonts w:ascii="Calibri" w:cs="Calibri" w:eastAsia="Calibri" w:hAnsi="Calibri"/>
      <w:color w:val="000000"/>
      <w:sz w:val="20"/>
      <w:szCs w:val="20"/>
    </w:rPr>
    <w:tblPr>
      <w:tblStyleRowBandSize w:val="1"/>
      <w:tblStyleColBandSize w:val="1"/>
      <w:tblCellMar>
        <w:left w:w="108.0" w:type="dxa"/>
        <w:right w:w="108.0" w:type="dxa"/>
      </w:tblCellMar>
    </w:tblPr>
    <w:tblStylePr w:type="firstRow">
      <w:rPr>
        <w:b w:val="1"/>
        <w:color w:val="ffffff"/>
      </w:rPr>
      <w:tblPr/>
      <w:tcPr>
        <w:shd w:color="auto" w:fill="000000" w:val="clear"/>
      </w:tcPr>
    </w:tblStylePr>
    <w:tblStylePr w:type="lastRow">
      <w:rPr>
        <w:b w:val="1"/>
      </w:rPr>
      <w:tblPr/>
      <w:tcPr>
        <w:tcBorders>
          <w:top w:color="000000"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000000" w:space="0" w:sz="4" w:val="single"/>
          <w:right w:color="000000" w:space="0" w:sz="4" w:val="single"/>
        </w:tcBorders>
      </w:tcPr>
    </w:tblStylePr>
    <w:tblStylePr w:type="band1Horz">
      <w:tblPr/>
      <w:tcPr>
        <w:tcBorders>
          <w:top w:color="000000" w:space="0" w:sz="4" w:val="single"/>
          <w:bottom w:color="000000"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val="single"/>
          <w:left w:space="0" w:sz="0" w:val="nil"/>
        </w:tcBorders>
      </w:tcPr>
    </w:tblStylePr>
    <w:tblStylePr w:type="swCell">
      <w:tblPr/>
      <w:tcPr>
        <w:tcBorders>
          <w:top w:color="000000" w:space="0" w:sz="4" w:val="single"/>
          <w:right w:space="0" w:sz="0" w:val="nil"/>
        </w:tcBorders>
      </w:tcPr>
    </w:tblStylePr>
  </w:style>
  <w:style w:type="table" w:styleId="a2" w:customStyle="1">
    <w:basedOn w:val="TableNormal"/>
    <w:rPr>
      <w:rFonts w:ascii="Calibri" w:cs="Calibri" w:eastAsia="Calibri" w:hAnsi="Calibri"/>
      <w:color w:val="000000"/>
      <w:sz w:val="20"/>
      <w:szCs w:val="20"/>
    </w:rPr>
    <w:tblPr>
      <w:tblStyleRowBandSize w:val="1"/>
      <w:tblStyleColBandSize w:val="1"/>
      <w:tblCellMar>
        <w:left w:w="108.0" w:type="dxa"/>
        <w:right w:w="108.0" w:type="dxa"/>
      </w:tblCellMar>
    </w:tblPr>
    <w:tblStylePr w:type="firstRow">
      <w:rPr>
        <w:b w:val="1"/>
        <w:color w:val="ffffff"/>
      </w:rPr>
      <w:tblPr/>
      <w:tcPr>
        <w:shd w:color="auto" w:fill="000000" w:val="clear"/>
      </w:tcPr>
    </w:tblStylePr>
    <w:tblStylePr w:type="lastRow">
      <w:rPr>
        <w:b w:val="1"/>
      </w:rPr>
      <w:tblPr/>
      <w:tcPr>
        <w:tcBorders>
          <w:top w:color="000000"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000000" w:space="0" w:sz="4" w:val="single"/>
          <w:right w:color="000000" w:space="0" w:sz="4" w:val="single"/>
        </w:tcBorders>
      </w:tcPr>
    </w:tblStylePr>
    <w:tblStylePr w:type="band1Horz">
      <w:tblPr/>
      <w:tcPr>
        <w:tcBorders>
          <w:top w:color="000000" w:space="0" w:sz="4" w:val="single"/>
          <w:bottom w:color="000000"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val="single"/>
          <w:left w:space="0" w:sz="0" w:val="nil"/>
        </w:tcBorders>
      </w:tcPr>
    </w:tblStylePr>
    <w:tblStylePr w:type="swCell">
      <w:tblPr/>
      <w:tcPr>
        <w:tcBorders>
          <w:top w:color="000000" w:space="0" w:sz="4" w:val="single"/>
          <w:right w:space="0" w:sz="0" w:val="nil"/>
        </w:tcBorders>
      </w:tcPr>
    </w:tblStylePr>
  </w:style>
  <w:style w:type="table" w:styleId="a3" w:customStyle="1">
    <w:basedOn w:val="TableNormal"/>
    <w:rPr>
      <w:rFonts w:ascii="Calibri" w:cs="Calibri" w:eastAsia="Calibri" w:hAnsi="Calibri"/>
      <w:color w:val="000000"/>
      <w:sz w:val="20"/>
      <w:szCs w:val="20"/>
    </w:rPr>
    <w:tblPr>
      <w:tblStyleRowBandSize w:val="1"/>
      <w:tblStyleColBandSize w:val="1"/>
      <w:tblCellMar>
        <w:left w:w="108.0" w:type="dxa"/>
        <w:right w:w="108.0" w:type="dxa"/>
      </w:tblCellMar>
    </w:tblPr>
    <w:tblStylePr w:type="firstRow">
      <w:rPr>
        <w:b w:val="1"/>
        <w:color w:val="ffffff"/>
      </w:rPr>
      <w:tblPr/>
      <w:tcPr>
        <w:shd w:color="auto" w:fill="000000" w:val="clear"/>
      </w:tcPr>
    </w:tblStylePr>
    <w:tblStylePr w:type="lastRow">
      <w:rPr>
        <w:b w:val="1"/>
      </w:rPr>
      <w:tblPr/>
      <w:tcPr>
        <w:tcBorders>
          <w:top w:color="000000"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000000" w:space="0" w:sz="4" w:val="single"/>
          <w:right w:color="000000" w:space="0" w:sz="4" w:val="single"/>
        </w:tcBorders>
      </w:tcPr>
    </w:tblStylePr>
    <w:tblStylePr w:type="band1Horz">
      <w:tblPr/>
      <w:tcPr>
        <w:tcBorders>
          <w:top w:color="000000" w:space="0" w:sz="4" w:val="single"/>
          <w:bottom w:color="000000"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val="single"/>
          <w:left w:space="0" w:sz="0" w:val="nil"/>
        </w:tcBorders>
      </w:tcPr>
    </w:tblStylePr>
    <w:tblStylePr w:type="swCell">
      <w:tblPr/>
      <w:tcPr>
        <w:tcBorders>
          <w:top w:color="000000" w:space="0" w:sz="4" w:val="single"/>
          <w:right w:space="0" w:sz="0" w:val="nil"/>
        </w:tcBorders>
      </w:tcPr>
    </w:tblStylePr>
  </w:style>
  <w:style w:type="table" w:styleId="a4" w:customStyle="1">
    <w:basedOn w:val="TableNormal"/>
    <w:rPr>
      <w:rFonts w:ascii="Calibri" w:cs="Calibri" w:eastAsia="Calibri" w:hAnsi="Calibri"/>
      <w:color w:val="000000"/>
      <w:sz w:val="20"/>
      <w:szCs w:val="20"/>
    </w:rPr>
    <w:tblPr>
      <w:tblStyleRowBandSize w:val="1"/>
      <w:tblStyleColBandSize w:val="1"/>
      <w:tblCellMar>
        <w:left w:w="108.0" w:type="dxa"/>
        <w:right w:w="108.0" w:type="dxa"/>
      </w:tblCellMar>
    </w:tblPr>
    <w:tblStylePr w:type="firstRow">
      <w:rPr>
        <w:b w:val="1"/>
        <w:color w:val="ffffff"/>
      </w:rPr>
      <w:tblPr/>
      <w:tcPr>
        <w:shd w:color="auto" w:fill="5f5f5f" w:val="clear"/>
      </w:tcPr>
    </w:tblStylePr>
    <w:tblStylePr w:type="lastRow">
      <w:rPr>
        <w:b w:val="1"/>
      </w:rPr>
      <w:tblPr/>
      <w:tcPr>
        <w:tcBorders>
          <w:top w:color="5f5f5f"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5f5f5f" w:space="0" w:sz="4" w:val="single"/>
          <w:right w:color="5f5f5f" w:space="0" w:sz="4" w:val="single"/>
        </w:tcBorders>
      </w:tcPr>
    </w:tblStylePr>
    <w:tblStylePr w:type="band1Horz">
      <w:tblPr/>
      <w:tcPr>
        <w:tcBorders>
          <w:top w:color="5f5f5f" w:space="0" w:sz="4" w:val="single"/>
          <w:bottom w:color="5f5f5f"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f5f5f" w:space="0" w:sz="4" w:val="single"/>
          <w:left w:space="0" w:sz="0" w:val="nil"/>
        </w:tcBorders>
      </w:tcPr>
    </w:tblStylePr>
    <w:tblStylePr w:type="swCell">
      <w:tblPr/>
      <w:tcPr>
        <w:tcBorders>
          <w:top w:color="5f5f5f" w:space="0" w:sz="4" w:val="single"/>
          <w:right w:space="0" w:sz="0" w:val="nil"/>
        </w:tcBorders>
      </w:tcPr>
    </w:tblStyle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70.0" w:type="dxa"/>
        <w:right w:w="70.0" w:type="dxa"/>
      </w:tblCellMar>
    </w:tblPr>
  </w:style>
  <w:style w:type="paragraph" w:styleId="Textocomentario">
    <w:name w:val="annotation text"/>
    <w:basedOn w:val="Normal"/>
    <w:link w:val="TextocomentarioCar"/>
    <w:uiPriority w:val="99"/>
    <w:semiHidden w:val="1"/>
    <w:unhideWhenUsed w:val="1"/>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DF1653"/>
    <w:rPr>
      <w:b w:val="1"/>
      <w:bCs w:val="1"/>
    </w:rPr>
  </w:style>
  <w:style w:type="character" w:styleId="AsuntodelcomentarioCar" w:customStyle="1">
    <w:name w:val="Asunto del comentario Car"/>
    <w:basedOn w:val="TextocomentarioCar"/>
    <w:link w:val="Asuntodelcomentario"/>
    <w:uiPriority w:val="99"/>
    <w:semiHidden w:val="1"/>
    <w:rsid w:val="00DF1653"/>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style>
  <w:style w:type="table" w:styleId="Table2">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style>
  <w:style w:type="table" w:styleId="Table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tblStylePr w:type="band1Horz">
      <w:tcPr>
        <w:tcBorders>
          <w:top w:color="000000" w:space="0" w:sz="4" w:val="single"/>
          <w:bottom w:color="000000" w:space="0" w:sz="4" w:val="single"/>
          <w:insideH w:color="000000" w:space="0" w:sz="0" w:val="nil"/>
        </w:tcBorders>
      </w:tcPr>
    </w:tblStylePr>
    <w:tblStylePr w:type="band1Vert">
      <w:tcPr>
        <w:tcBorders>
          <w:left w:color="000000" w:space="0" w:sz="4" w:val="single"/>
          <w:right w:color="000000"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000000" w:val="clear"/>
      </w:tcPr>
    </w:tblStylePr>
    <w:tblStylePr w:type="lastCol">
      <w:rPr>
        <w:b w:val="1"/>
      </w:rPr>
      <w:tcPr>
        <w:tcBorders>
          <w:left w:color="000000" w:space="0" w:sz="0" w:val="nil"/>
        </w:tcBorders>
        <w:shd w:fill="ffffff" w:val="clear"/>
      </w:tcPr>
    </w:tblStylePr>
    <w:tblStylePr w:type="lastRow">
      <w:rPr>
        <w:b w:val="1"/>
      </w:rPr>
      <w:tcPr>
        <w:tcBorders>
          <w:top w:color="000000"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000000" w:space="0" w:sz="4" w:val="single"/>
          <w:left w:color="000000" w:space="0" w:sz="0" w:val="nil"/>
        </w:tcBorders>
      </w:tcPr>
    </w:tblStylePr>
    <w:tblStylePr w:type="swCell">
      <w:tcPr>
        <w:tcBorders>
          <w:top w:color="000000" w:space="0" w:sz="4" w:val="single"/>
          <w:right w:color="000000" w:space="0" w:sz="0" w:val="nil"/>
        </w:tcBorders>
      </w:tcPr>
    </w:tblStylePr>
  </w:style>
  <w:style w:type="table" w:styleId="Table5">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tblStylePr w:type="band1Horz">
      <w:tcPr>
        <w:tcBorders>
          <w:top w:color="000000" w:space="0" w:sz="4" w:val="single"/>
          <w:bottom w:color="000000" w:space="0" w:sz="4" w:val="single"/>
          <w:insideH w:color="000000" w:space="0" w:sz="0" w:val="nil"/>
        </w:tcBorders>
      </w:tcPr>
    </w:tblStylePr>
    <w:tblStylePr w:type="band1Vert">
      <w:tcPr>
        <w:tcBorders>
          <w:left w:color="000000" w:space="0" w:sz="4" w:val="single"/>
          <w:right w:color="000000"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000000" w:val="clear"/>
      </w:tcPr>
    </w:tblStylePr>
    <w:tblStylePr w:type="lastCol">
      <w:rPr>
        <w:b w:val="1"/>
      </w:rPr>
      <w:tcPr>
        <w:tcBorders>
          <w:left w:color="000000" w:space="0" w:sz="0" w:val="nil"/>
        </w:tcBorders>
        <w:shd w:fill="ffffff" w:val="clear"/>
      </w:tcPr>
    </w:tblStylePr>
    <w:tblStylePr w:type="lastRow">
      <w:rPr>
        <w:b w:val="1"/>
      </w:rPr>
      <w:tcPr>
        <w:tcBorders>
          <w:top w:color="000000"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000000" w:space="0" w:sz="4" w:val="single"/>
          <w:left w:color="000000" w:space="0" w:sz="0" w:val="nil"/>
        </w:tcBorders>
      </w:tcPr>
    </w:tblStylePr>
    <w:tblStylePr w:type="swCell">
      <w:tcPr>
        <w:tcBorders>
          <w:top w:color="000000" w:space="0" w:sz="4" w:val="single"/>
          <w:right w:color="000000" w:space="0" w:sz="0" w:val="nil"/>
        </w:tcBorders>
      </w:tcPr>
    </w:tblStylePr>
  </w:style>
  <w:style w:type="table" w:styleId="Table6">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tblStylePr w:type="band1Horz">
      <w:tcPr>
        <w:tcBorders>
          <w:top w:color="000000" w:space="0" w:sz="4" w:val="single"/>
          <w:bottom w:color="000000" w:space="0" w:sz="4" w:val="single"/>
          <w:insideH w:color="000000" w:space="0" w:sz="0" w:val="nil"/>
        </w:tcBorders>
      </w:tcPr>
    </w:tblStylePr>
    <w:tblStylePr w:type="band1Vert">
      <w:tcPr>
        <w:tcBorders>
          <w:left w:color="000000" w:space="0" w:sz="4" w:val="single"/>
          <w:right w:color="000000"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000000" w:val="clear"/>
      </w:tcPr>
    </w:tblStylePr>
    <w:tblStylePr w:type="lastCol">
      <w:rPr>
        <w:b w:val="1"/>
      </w:rPr>
      <w:tcPr>
        <w:tcBorders>
          <w:left w:color="000000" w:space="0" w:sz="0" w:val="nil"/>
        </w:tcBorders>
        <w:shd w:fill="ffffff" w:val="clear"/>
      </w:tcPr>
    </w:tblStylePr>
    <w:tblStylePr w:type="lastRow">
      <w:rPr>
        <w:b w:val="1"/>
      </w:rPr>
      <w:tcPr>
        <w:tcBorders>
          <w:top w:color="000000"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000000" w:space="0" w:sz="4" w:val="single"/>
          <w:left w:color="000000" w:space="0" w:sz="0" w:val="nil"/>
        </w:tcBorders>
      </w:tcPr>
    </w:tblStylePr>
    <w:tblStylePr w:type="swCell">
      <w:tcPr>
        <w:tcBorders>
          <w:top w:color="000000" w:space="0" w:sz="4" w:val="single"/>
          <w:right w:color="000000" w:space="0" w:sz="0" w:val="nil"/>
        </w:tcBorders>
      </w:tcPr>
    </w:tblStylePr>
  </w:style>
  <w:style w:type="table" w:styleId="Table7">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tblStylePr w:type="band1Horz">
      <w:tcPr>
        <w:tcBorders>
          <w:top w:color="5f5f5f" w:space="0" w:sz="4" w:val="single"/>
          <w:bottom w:color="5f5f5f" w:space="0" w:sz="4" w:val="single"/>
          <w:insideH w:color="000000" w:space="0" w:sz="0" w:val="nil"/>
        </w:tcBorders>
      </w:tcPr>
    </w:tblStylePr>
    <w:tblStylePr w:type="band1Vert">
      <w:tcPr>
        <w:tcBorders>
          <w:left w:color="5f5f5f" w:space="0" w:sz="4" w:val="single"/>
          <w:right w:color="5f5f5f"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5f5f5f" w:val="clear"/>
      </w:tcPr>
    </w:tblStylePr>
    <w:tblStylePr w:type="lastCol">
      <w:rPr>
        <w:b w:val="1"/>
      </w:rPr>
      <w:tcPr>
        <w:tcBorders>
          <w:left w:color="000000" w:space="0" w:sz="0" w:val="nil"/>
        </w:tcBorders>
        <w:shd w:fill="ffffff" w:val="clear"/>
      </w:tcPr>
    </w:tblStylePr>
    <w:tblStylePr w:type="lastRow">
      <w:rPr>
        <w:b w:val="1"/>
      </w:rPr>
      <w:tcPr>
        <w:tcBorders>
          <w:top w:color="5f5f5f"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5f5f5f" w:space="0" w:sz="4" w:val="single"/>
          <w:left w:color="000000" w:space="0" w:sz="0" w:val="nil"/>
        </w:tcBorders>
      </w:tcPr>
    </w:tblStylePr>
    <w:tblStylePr w:type="swCell">
      <w:tcPr>
        <w:tcBorders>
          <w:top w:color="5f5f5f" w:space="0" w:sz="4" w:val="single"/>
          <w:right w:color="000000" w:space="0" w:sz="0" w:val="nil"/>
        </w:tcBorders>
      </w:tcPr>
    </w:tblStylePr>
  </w:style>
  <w:style w:type="table" w:styleId="Table8">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style>
  <w:style w:type="table" w:styleId="Table9">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1" Type="http://schemas.openxmlformats.org/officeDocument/2006/relationships/font" Target="fonts/GillSans-regular.ttf"/><Relationship Id="rId10" Type="http://schemas.openxmlformats.org/officeDocument/2006/relationships/font" Target="fonts/NotoSansSymbols-bold.ttf"/><Relationship Id="rId12" Type="http://schemas.openxmlformats.org/officeDocument/2006/relationships/font" Target="fonts/GillSan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ZD2A+6/oyqg4YZZWydaY0bh9MA==">CgMxLjAaJQoBMBIgCh4IB0IaChFRdWF0dHJvY2VudG8gU2FucxIFQXJpYWwyCWguMTdkcDh2dTIJaC4zcmRjcmpuMgloLjMwajB6bGwyCWguMjZpbjFyZzIIaC5sbnhiejkyCWguMzVua3VuMjIJaC4xa3N2NHV2MgloLjQ0c2luaW8yCWguMmp4c3hxaDIJaC40ZDM0b2c4MghoLnozMzd5YTgAciExVVRaOTFZYWlQeVZWb05Vc3FhYUxRVGhmVGN4YVBYTHc=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2022-11-07T14:38:00Z</dcterms:created>
  <dc:creator>Michael Meneses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0x01010015EB04CA75DF8545A3874B78902BA41A</vt:lpwstr>
  </property>
</Properties>
</file>