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sz w:val="12"/>
          <w:szCs w:val="12"/>
        </w:rPr>
      </w:pPr>
      <w:r w:rsidDel="00000000" w:rsidR="00000000" w:rsidRPr="00000000">
        <w:rPr>
          <w:rtl w:val="0"/>
        </w:rPr>
      </w:r>
    </w:p>
    <w:p w:rsidR="00000000" w:rsidDel="00000000" w:rsidP="00000000" w:rsidRDefault="00000000" w:rsidRPr="00000000" w14:paraId="00000002">
      <w:pPr>
        <w:pBdr>
          <w:bottom w:color="000000" w:space="1" w:sz="4" w:val="single"/>
        </w:pBdr>
        <w:spacing w:after="0" w:before="0" w:lineRule="auto"/>
        <w:ind w:left="283" w:hanging="289"/>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de Requerimiento: CJ_ACL_00</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pPr>
      <w:r w:rsidDel="00000000" w:rsidR="00000000" w:rsidRPr="00000000">
        <w:rPr>
          <w:rtl w:val="0"/>
        </w:rPr>
      </w:r>
    </w:p>
    <w:tbl>
      <w:tblPr>
        <w:tblStyle w:val="Table1"/>
        <w:tblW w:w="9923.0" w:type="dxa"/>
        <w:jc w:val="left"/>
        <w:tblInd w:w="-6.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252"/>
                <w:tab w:val="right" w:leader="none" w:pos="8504"/>
              </w:tabs>
              <w:rPr>
                <w:b w:val="1"/>
                <w:color w:val="000000"/>
                <w:sz w:val="16"/>
                <w:szCs w:val="16"/>
              </w:rPr>
            </w:pPr>
            <w:r w:rsidDel="00000000" w:rsidR="00000000" w:rsidRPr="00000000">
              <w:rPr>
                <w:rFonts w:ascii="Calibri" w:cs="Calibri" w:eastAsia="Calibri" w:hAnsi="Calibri"/>
                <w:b w:val="1"/>
                <w:sz w:val="24"/>
                <w:szCs w:val="24"/>
                <w:rtl w:val="0"/>
              </w:rPr>
              <w:t xml:space="preserve">El colaborador requiere consultar los movimientos realizados en la tarjeta de crédito (TDC) del tarjetahabiente (TH) para iniciar una aclaración</w:t>
            </w:r>
            <w:r w:rsidDel="00000000" w:rsidR="00000000" w:rsidRPr="00000000">
              <w:rPr>
                <w:b w:val="1"/>
                <w:color w:val="000000"/>
                <w:sz w:val="16"/>
                <w:szCs w:val="16"/>
                <w:rtl w:val="0"/>
              </w:rPr>
              <w:t xml:space="preserve"> </w:t>
            </w:r>
          </w:p>
        </w:tc>
      </w:tr>
      <w:tr>
        <w:trPr>
          <w:cantSplit w:val="0"/>
          <w:tblHeader w:val="0"/>
        </w:trPr>
        <w:tc>
          <w:tcPr>
            <w:tcBorders>
              <w:left w:color="000000" w:space="0" w:sz="4" w:val="single"/>
            </w:tcBorders>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SOLICITANTE:</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José Jaimes Ortiz</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PRIORIDAD:</w:t>
            </w:r>
          </w:p>
        </w:tc>
        <w:tc>
          <w:tcPr>
            <w:tcBorders>
              <w:right w:color="000000" w:space="0" w:sz="4" w:val="single"/>
            </w:tcBorders>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BAJA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MEDIA </w:t>
            </w:r>
            <w:r w:rsidDel="00000000" w:rsidR="00000000" w:rsidRPr="00000000">
              <w:rPr>
                <w:rFonts w:ascii="Calibri" w:cs="Calibri" w:eastAsia="Calibri" w:hAnsi="Calibri"/>
                <w:color w:val="000000"/>
                <w:sz w:val="18"/>
                <w:szCs w:val="18"/>
                <w:rtl w:val="0"/>
              </w:rPr>
              <w:t xml:space="preserve">☒</w:t>
            </w:r>
            <w:r w:rsidDel="00000000" w:rsidR="00000000" w:rsidRPr="00000000">
              <w:rPr>
                <w:rFonts w:ascii="Arial" w:cs="Arial" w:eastAsia="Arial" w:hAnsi="Arial"/>
                <w:color w:val="000000"/>
                <w:sz w:val="18"/>
                <w:szCs w:val="18"/>
                <w:rtl w:val="0"/>
              </w:rPr>
              <w:t xml:space="preserve"> ALTA</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Calibri" w:cs="Calibri" w:eastAsia="Calibri" w:hAnsi="Calibri"/>
                <w:b w:val="1"/>
                <w:color w:val="000000"/>
                <w:sz w:val="18"/>
                <w:szCs w:val="18"/>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DIRECCIÓN DEL SOLICITANTE:</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Sistemas</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sz w:val="18"/>
                <w:szCs w:val="18"/>
              </w:rPr>
            </w:pPr>
            <w:r w:rsidDel="00000000" w:rsidR="00000000" w:rsidRPr="00000000">
              <w:rPr>
                <w:color w:val="000000"/>
                <w:sz w:val="18"/>
                <w:szCs w:val="18"/>
                <w:rtl w:val="0"/>
              </w:rPr>
              <w:t xml:space="preserve">Sistema de aclaraciones</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ELABORÓ: </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Claudia Cruz Olmos</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t xml:space="preserve">04 de Diciembre</w:t>
            </w:r>
            <w:r w:rsidDel="00000000" w:rsidR="00000000" w:rsidRPr="00000000">
              <w:rPr>
                <w:color w:val="000000"/>
                <w:rtl w:val="0"/>
              </w:rPr>
              <w:t xml:space="preserve"> del 2023</w:t>
            </w:r>
          </w:p>
        </w:tc>
        <w:tc>
          <w:tcPr>
            <w:tcBorders>
              <w:bottom w:color="000000"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88" w:firstLine="0"/>
              <w:rPr>
                <w:rFonts w:ascii="Arial" w:cs="Arial" w:eastAsia="Arial" w:hAnsi="Arial"/>
                <w:b w:val="1"/>
                <w:color w:val="000000"/>
              </w:rPr>
            </w:pPr>
            <w:r w:rsidDel="00000000" w:rsidR="00000000" w:rsidRPr="00000000">
              <w:rPr>
                <w:rFonts w:ascii="Arial" w:cs="Arial" w:eastAsia="Arial" w:hAnsi="Arial"/>
                <w:b w:val="1"/>
                <w:color w:val="000000"/>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BAJA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MEDIA  </w:t>
            </w:r>
            <w:r w:rsidDel="00000000" w:rsidR="00000000" w:rsidRPr="00000000">
              <w:rPr>
                <w:rFonts w:ascii="Calibri" w:cs="Calibri" w:eastAsia="Calibri" w:hAnsi="Calibri"/>
                <w:color w:val="000000"/>
                <w:sz w:val="18"/>
                <w:szCs w:val="18"/>
                <w:rtl w:val="0"/>
              </w:rPr>
              <w:t xml:space="preserve">☒</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ALTA</w:t>
            </w:r>
            <w:r w:rsidDel="00000000" w:rsidR="00000000" w:rsidRPr="00000000">
              <w:rPr>
                <w:rFonts w:ascii="Arial" w:cs="Arial" w:eastAsia="Arial" w:hAnsi="Arial"/>
                <w:b w:val="1"/>
                <w:color w:val="000000"/>
                <w:sz w:val="18"/>
                <w:szCs w:val="18"/>
                <w:rtl w:val="0"/>
              </w:rPr>
              <w:t xml:space="preserve"> </w:t>
            </w:r>
            <w:r w:rsidDel="00000000" w:rsidR="00000000" w:rsidRPr="00000000">
              <w:rPr>
                <w:rFonts w:ascii="Calibri" w:cs="Calibri" w:eastAsia="Calibri" w:hAnsi="Calibri"/>
                <w:b w:val="1"/>
                <w:color w:val="000000"/>
                <w:sz w:val="18"/>
                <w:szCs w:val="18"/>
                <w:rtl w:val="0"/>
              </w:rPr>
              <w:t xml:space="preserve">☐</w:t>
            </w:r>
            <w:r w:rsidDel="00000000" w:rsidR="00000000" w:rsidRPr="00000000">
              <w:rPr>
                <w:rFonts w:ascii="Arial" w:cs="Arial" w:eastAsia="Arial" w:hAnsi="Arial"/>
                <w:color w:val="000000"/>
                <w:sz w:val="18"/>
                <w:szCs w:val="18"/>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Área</w:t>
            </w:r>
          </w:p>
        </w:tc>
        <w:tc>
          <w:tcP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Representante</w:t>
            </w:r>
          </w:p>
        </w:tc>
        <w:tc>
          <w:tcP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Responsabilidades</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Firma</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Fábrica de productos digitales</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Marcela Zoraya Zetina Manrique</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Directora</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Ejecución</w:t>
            </w:r>
          </w:p>
        </w:tc>
        <w:tc>
          <w:tcP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Caroline Peimin Su</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Directora del programa</w:t>
            </w:r>
          </w:p>
        </w:tc>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64" w:hRule="atLeast"/>
          <w:tblHeader w:val="0"/>
        </w:trPr>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CMS</w:t>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José Jaimes Ortiz</w:t>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Líder de Iniciativa</w:t>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Sistema de aclaraciones</w:t>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Jaime González Prado</w:t>
            </w:r>
          </w:p>
        </w:tc>
        <w:tc>
          <w:tcPr>
            <w:vAlign w:val="center"/>
          </w:tcPr>
          <w:p w:rsidR="00000000" w:rsidDel="00000000" w:rsidP="00000000" w:rsidRDefault="00000000" w:rsidRPr="00000000" w14:paraId="0000003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Gerente</w:t>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3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Sistema de aclaraciones</w:t>
            </w:r>
          </w:p>
        </w:tc>
        <w:tc>
          <w:tcPr>
            <w:vAlign w:val="center"/>
          </w:tcPr>
          <w:p w:rsidR="00000000" w:rsidDel="00000000" w:rsidP="00000000" w:rsidRDefault="00000000" w:rsidRPr="00000000" w14:paraId="0000003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Víctor Hugo Sánchez</w:t>
            </w:r>
          </w:p>
        </w:tc>
        <w:tc>
          <w:tcPr>
            <w:vAlign w:val="center"/>
          </w:tcPr>
          <w:p w:rsidR="00000000" w:rsidDel="00000000" w:rsidP="00000000" w:rsidRDefault="00000000" w:rsidRPr="00000000" w14:paraId="0000003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Gerente</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0" w:lineRule="auto"/>
        <w:ind w:left="720" w:firstLine="0"/>
        <w:jc w:val="both"/>
        <w:rPr>
          <w:rFonts w:ascii="Calibri" w:cs="Calibri" w:eastAsia="Calibri" w:hAnsi="Calibri"/>
          <w:color w:val="000000"/>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A">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B">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3C">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0" w:lineRule="auto"/>
        <w:ind w:left="708" w:firstLine="0"/>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3F">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252"/>
          <w:tab w:val="right" w:leader="none" w:pos="8504"/>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Conforme al requerimiento </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b w:val="1"/>
          <w:sz w:val="24"/>
          <w:szCs w:val="24"/>
          <w:rtl w:val="0"/>
        </w:rPr>
        <w:t xml:space="preserve">El colaborador requiere consultar los movimientos realizados en la tarjeta de crédito (TDC) del tarjetahabiente (TH) para iniciar una aclaración</w:t>
      </w:r>
      <w:r w:rsidDel="00000000" w:rsidR="00000000" w:rsidRPr="00000000">
        <w:rPr>
          <w:rFonts w:ascii="Calibri" w:cs="Calibri" w:eastAsia="Calibri" w:hAnsi="Calibri"/>
          <w:b w:val="1"/>
          <w:color w:val="000000"/>
          <w:sz w:val="24"/>
          <w:szCs w:val="24"/>
          <w:rtl w:val="0"/>
        </w:rPr>
        <w:t xml:space="preserve">”</w:t>
      </w:r>
      <w:r w:rsidDel="00000000" w:rsidR="00000000" w:rsidRPr="00000000">
        <w:rPr>
          <w:rFonts w:ascii="Calibri" w:cs="Calibri" w:eastAsia="Calibri" w:hAnsi="Calibri"/>
          <w:color w:val="000000"/>
          <w:sz w:val="24"/>
          <w:szCs w:val="24"/>
          <w:rtl w:val="0"/>
        </w:rPr>
        <w:t xml:space="preserve"> está considerado la aclaración de movimientos no reconocidos de un producto de Tarjeta de Crédito existente en la plataforma SmartVista (SV).</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2">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0"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NECESIDAD 1.  </w:t>
            </w:r>
          </w:p>
        </w:tc>
        <w:tc>
          <w:tcPr/>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Realizar abono temporal a TDC por aclaración en curso de un movimiento no reconocido.</w:t>
            </w:r>
          </w:p>
        </w:tc>
      </w:tr>
    </w:tbl>
    <w:p w:rsidR="00000000" w:rsidDel="00000000" w:rsidP="00000000" w:rsidRDefault="00000000" w:rsidRPr="00000000" w14:paraId="0000004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hacer uso de las reglas de negocio que actualmente se utilizan para validar si una aclaración procede o no procede, si se realiza abono temporal a la tarjeta de crédito del cliente y si se realiza cobro en dado caso de que no proceda la aclaración.</w:t>
      </w:r>
      <w:r w:rsidDel="00000000" w:rsidR="00000000" w:rsidRPr="00000000">
        <w:rPr>
          <w:rtl w:val="0"/>
        </w:rPr>
      </w:r>
    </w:p>
    <w:p w:rsidR="00000000" w:rsidDel="00000000" w:rsidP="00000000" w:rsidRDefault="00000000" w:rsidRPr="00000000" w14:paraId="00000046">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2</w:t>
      </w:r>
      <w:r w:rsidDel="00000000" w:rsidR="00000000" w:rsidRPr="00000000">
        <w:rPr>
          <w:rFonts w:ascii="Calibri" w:cs="Calibri" w:eastAsia="Calibri" w:hAnsi="Calibri"/>
          <w:color w:val="000000"/>
          <w:sz w:val="24"/>
          <w:szCs w:val="24"/>
          <w:rtl w:val="0"/>
        </w:rPr>
        <w:t xml:space="preserve">: Si la cuenta del cliente de la cual se desea iniciar una aclaración es propia de SmartVista el sistema de aclaraciones deberá comunicarse con SmartVista para obtener el producto de tarjeta con el bin </w:t>
      </w:r>
      <w:r w:rsidDel="00000000" w:rsidR="00000000" w:rsidRPr="00000000">
        <w:rPr>
          <w:rFonts w:ascii="Calibri" w:cs="Calibri" w:eastAsia="Calibri" w:hAnsi="Calibri"/>
          <w:b w:val="1"/>
          <w:color w:val="000000"/>
          <w:sz w:val="24"/>
          <w:szCs w:val="24"/>
          <w:rtl w:val="0"/>
        </w:rPr>
        <w:t xml:space="preserve">42680711</w:t>
      </w:r>
      <w:r w:rsidDel="00000000" w:rsidR="00000000" w:rsidRPr="00000000">
        <w:rPr>
          <w:rFonts w:ascii="Calibri" w:cs="Calibri" w:eastAsia="Calibri" w:hAnsi="Calibri"/>
          <w:color w:val="000000"/>
          <w:sz w:val="24"/>
          <w:szCs w:val="24"/>
          <w:rtl w:val="0"/>
        </w:rPr>
        <w:t xml:space="preserve"> asociado a la cuenta del cliente. Para esto se deberá hacer un llamado a SmartVista para consumir la API getCardListByOwner.</w:t>
      </w:r>
    </w:p>
    <w:p w:rsidR="00000000" w:rsidDel="00000000" w:rsidP="00000000" w:rsidRDefault="00000000" w:rsidRPr="00000000" w14:paraId="00000047">
      <w:pPr>
        <w:keepNext w:val="1"/>
        <w:pBdr>
          <w:top w:space="0" w:sz="0" w:val="nil"/>
          <w:left w:space="0" w:sz="0" w:val="nil"/>
          <w:bottom w:space="0" w:sz="0" w:val="nil"/>
          <w:right w:space="0" w:sz="0" w:val="nil"/>
          <w:between w:space="0" w:sz="0" w:val="nil"/>
        </w:pBdr>
        <w:spacing w:after="120" w:before="240"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Una vez identificado el producto de tarjeta del cual se desea realizar una aclaración, se buscan los movimientos que coinciden con el escenario  descrito por el cliente. Para encontrar los movimientos que coinciden con estas características se deberá hacer un llamado a SmartVista para consumir la API getTransactions.</w:t>
      </w:r>
      <w:r w:rsidDel="00000000" w:rsidR="00000000" w:rsidRPr="00000000">
        <w:rPr>
          <w:rtl w:val="0"/>
        </w:rPr>
      </w:r>
    </w:p>
    <w:p w:rsidR="00000000" w:rsidDel="00000000" w:rsidP="00000000" w:rsidRDefault="00000000" w:rsidRPr="00000000" w14:paraId="00000048">
      <w:pPr>
        <w:spacing w:after="120"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49">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 de la Necesidad 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El número de tarjeta de crédito debe de existir en SmartVista. </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 tarjeta de crédito debe estar asignada al cliente. </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en estatus ACT (Activa).</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El movimiento no reconocido que se desea aclarar debe estar conciliado en SmartVista.</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no debe pasar de 90 días naturales para solicitar la aclaración.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Referencias de la Necesidad 1.</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2.</w:t>
      </w: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b w:val="1"/>
          <w:color w:val="000000"/>
          <w:sz w:val="24"/>
          <w:szCs w:val="24"/>
          <w:rtl w:val="0"/>
        </w:rPr>
        <w:t xml:space="preserve">APIGate Service Description. Versión 7 September 2023</w:t>
      </w:r>
      <w:r w:rsidDel="00000000" w:rsidR="00000000" w:rsidRPr="00000000">
        <w:rPr>
          <w:rFonts w:ascii="Calibri" w:cs="Calibri" w:eastAsia="Calibri" w:hAnsi="Calibri"/>
          <w:color w:val="000000"/>
          <w:sz w:val="24"/>
          <w:szCs w:val="24"/>
          <w:rtl w:val="0"/>
        </w:rPr>
        <w:t xml:space="preserve">]. Sección </w:t>
      </w:r>
      <w:r w:rsidDel="00000000" w:rsidR="00000000" w:rsidRPr="00000000">
        <w:rPr>
          <w:rFonts w:ascii="Calibri" w:cs="Calibri" w:eastAsia="Calibri" w:hAnsi="Calibri"/>
          <w:i w:val="1"/>
          <w:color w:val="000000"/>
          <w:sz w:val="24"/>
          <w:szCs w:val="24"/>
          <w:rtl w:val="0"/>
        </w:rPr>
        <w:t xml:space="preserve">getCardListByOwner.</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Característica </w:t>
      </w:r>
      <w:r w:rsidDel="00000000" w:rsidR="00000000" w:rsidRPr="00000000">
        <w:rPr>
          <w:rFonts w:ascii="Calibri" w:cs="Calibri" w:eastAsia="Calibri" w:hAnsi="Calibri"/>
          <w:b w:val="1"/>
          <w:sz w:val="24"/>
          <w:szCs w:val="24"/>
          <w:rtl w:val="0"/>
        </w:rPr>
        <w:t xml:space="preserve">3.</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color w:val="000000"/>
          <w:sz w:val="24"/>
          <w:szCs w:val="24"/>
          <w:rtl w:val="0"/>
        </w:rPr>
        <w:t xml:space="preserve">APIGate Service Description. Versión 7 September 2023</w:t>
      </w:r>
      <w:r w:rsidDel="00000000" w:rsidR="00000000" w:rsidRPr="00000000">
        <w:rPr>
          <w:rFonts w:ascii="Calibri" w:cs="Calibri" w:eastAsia="Calibri" w:hAnsi="Calibri"/>
          <w:color w:val="000000"/>
          <w:sz w:val="24"/>
          <w:szCs w:val="24"/>
          <w:rtl w:val="0"/>
        </w:rPr>
        <w:t xml:space="preserve">]. Sección </w:t>
      </w:r>
      <w:r w:rsidDel="00000000" w:rsidR="00000000" w:rsidRPr="00000000">
        <w:rPr>
          <w:rFonts w:ascii="Calibri" w:cs="Calibri" w:eastAsia="Calibri" w:hAnsi="Calibri"/>
          <w:i w:val="1"/>
          <w:color w:val="000000"/>
          <w:sz w:val="24"/>
          <w:szCs w:val="24"/>
          <w:rtl w:val="0"/>
        </w:rPr>
        <w:t xml:space="preserve">getTransactions</w:t>
      </w:r>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53">
      <w:pPr>
        <w:pStyle w:val="Heading1"/>
        <w:pBdr>
          <w:bottom w:color="000000" w:space="1" w:sz="4" w:val="single"/>
        </w:pBdr>
        <w:ind w:left="284" w:hanging="290"/>
        <w:rPr>
          <w:smallCaps w:val="0"/>
          <w:sz w:val="24"/>
          <w:szCs w:val="24"/>
        </w:rPr>
      </w:pPr>
      <w:r w:rsidDel="00000000" w:rsidR="00000000" w:rsidRPr="00000000">
        <w:rPr>
          <w:rtl w:val="0"/>
        </w:rPr>
      </w:r>
    </w:p>
    <w:tbl>
      <w:tblPr>
        <w:tblStyle w:val="Table4"/>
        <w:tblW w:w="10080.0" w:type="dxa"/>
        <w:jc w:val="left"/>
        <w:tblInd w:w="-6.0"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54">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2.  </w:t>
            </w:r>
          </w:p>
        </w:tc>
        <w:tc>
          <w:tcPr/>
          <w:p w:rsidR="00000000" w:rsidDel="00000000" w:rsidP="00000000" w:rsidRDefault="00000000" w:rsidRPr="00000000" w14:paraId="00000055">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Realizar abono temporal a TDC por aclaración en curso de un movimiento no reconocido</w:t>
            </w:r>
          </w:p>
        </w:tc>
      </w:tr>
    </w:tbl>
    <w:p w:rsidR="00000000" w:rsidDel="00000000" w:rsidP="00000000" w:rsidRDefault="00000000" w:rsidRPr="00000000" w14:paraId="0000005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hacer uso de las reglas de negocio que actualmente se utilizan para validar si una aclaración procede o no procede, si se realiza abono temporal a la tarjeta de crédito del cliente y si se realiza cobro en dado caso de que no proceda la aclaración.</w:t>
      </w:r>
    </w:p>
    <w:p w:rsidR="00000000" w:rsidDel="00000000" w:rsidP="00000000" w:rsidRDefault="00000000" w:rsidRPr="00000000" w14:paraId="00000057">
      <w:pPr>
        <w:keepNext w:val="1"/>
        <w:spacing w:after="120" w:before="240" w:lineRule="auto"/>
        <w:rPr>
          <w:rFonts w:ascii="Calibri" w:cs="Calibri" w:eastAsia="Calibri" w:hAnsi="Calibri"/>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Si el movimiento a aclarar es apto para dar abono inmediato, el sistema de aclaraciones deberá comunicarse hacia SmartVista por medio de Mulesoft indicando el monto que le debe ser abonado a la tarjeta de crédito. Para realizar este abono se deberá hacer un llamado a SmartVista para consumir el API creditCard.</w:t>
      </w:r>
      <w:r w:rsidDel="00000000" w:rsidR="00000000" w:rsidRPr="00000000">
        <w:rPr>
          <w:rtl w:val="0"/>
        </w:rPr>
      </w:r>
    </w:p>
    <w:p w:rsidR="00000000" w:rsidDel="00000000" w:rsidP="00000000" w:rsidRDefault="00000000" w:rsidRPr="00000000" w14:paraId="00000058">
      <w:pPr>
        <w:pStyle w:val="Heading1"/>
        <w:pBdr>
          <w:bottom w:color="000000" w:space="1" w:sz="4" w:val="single"/>
        </w:pBdr>
        <w:ind w:left="284"/>
        <w:rPr>
          <w:smallCaps w:val="0"/>
          <w:sz w:val="24"/>
          <w:szCs w:val="24"/>
        </w:rPr>
      </w:pPr>
      <w:r w:rsidDel="00000000" w:rsidR="00000000" w:rsidRPr="00000000">
        <w:rPr>
          <w:smallCaps w:val="0"/>
          <w:sz w:val="24"/>
          <w:szCs w:val="24"/>
          <w:rtl w:val="0"/>
        </w:rPr>
        <w:t xml:space="preserve">Precondiciones de la Necesidad 2</w:t>
      </w:r>
    </w:p>
    <w:p w:rsidR="00000000" w:rsidDel="00000000" w:rsidP="00000000" w:rsidRDefault="00000000" w:rsidRPr="00000000" w14:paraId="00000059">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SmartVista. </w:t>
      </w:r>
    </w:p>
    <w:p w:rsidR="00000000" w:rsidDel="00000000" w:rsidP="00000000" w:rsidRDefault="00000000" w:rsidRPr="00000000" w14:paraId="0000005A">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asignada al cliente. </w:t>
      </w:r>
    </w:p>
    <w:p w:rsidR="00000000" w:rsidDel="00000000" w:rsidP="00000000" w:rsidRDefault="00000000" w:rsidRPr="00000000" w14:paraId="0000005B">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en estatus ACT (Activa).</w:t>
      </w:r>
    </w:p>
    <w:p w:rsidR="00000000" w:rsidDel="00000000" w:rsidP="00000000" w:rsidRDefault="00000000" w:rsidRPr="00000000" w14:paraId="0000005C">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debe estar conciliado en SmartVista.</w:t>
      </w:r>
    </w:p>
    <w:p w:rsidR="00000000" w:rsidDel="00000000" w:rsidP="00000000" w:rsidRDefault="00000000" w:rsidRPr="00000000" w14:paraId="0000005D">
      <w:pPr>
        <w:numPr>
          <w:ilvl w:val="0"/>
          <w:numId w:val="1"/>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no debe pasar de 90 días naturales para solicitar la aclaración.</w:t>
      </w:r>
    </w:p>
    <w:p w:rsidR="00000000" w:rsidDel="00000000" w:rsidP="00000000" w:rsidRDefault="00000000" w:rsidRPr="00000000" w14:paraId="0000005E">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pStyle w:val="Heading1"/>
        <w:pBdr>
          <w:bottom w:color="000000" w:space="1" w:sz="4" w:val="single"/>
        </w:pBdr>
        <w:ind w:left="284"/>
        <w:rPr>
          <w:smallCaps w:val="0"/>
          <w:sz w:val="24"/>
          <w:szCs w:val="24"/>
        </w:rPr>
      </w:pPr>
      <w:bookmarkStart w:colFirst="0" w:colLast="0" w:name="_heading=h.1ifp29wro33e" w:id="0"/>
      <w:bookmarkEnd w:id="0"/>
      <w:r w:rsidDel="00000000" w:rsidR="00000000" w:rsidRPr="00000000">
        <w:rPr>
          <w:smallCaps w:val="0"/>
          <w:sz w:val="24"/>
          <w:szCs w:val="24"/>
          <w:rtl w:val="0"/>
        </w:rPr>
        <w:t xml:space="preserve">Referencias de la Necesidad 2</w:t>
      </w:r>
    </w:p>
    <w:p w:rsidR="00000000" w:rsidDel="00000000" w:rsidP="00000000" w:rsidRDefault="00000000" w:rsidRPr="00000000" w14:paraId="00000060">
      <w:pPr>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APIGate Service Description. Versión 7 September 2023</w:t>
      </w:r>
      <w:r w:rsidDel="00000000" w:rsidR="00000000" w:rsidRPr="00000000">
        <w:rPr>
          <w:rFonts w:ascii="Calibri" w:cs="Calibri" w:eastAsia="Calibri" w:hAnsi="Calibri"/>
          <w:sz w:val="24"/>
          <w:szCs w:val="24"/>
          <w:rtl w:val="0"/>
        </w:rPr>
        <w:t xml:space="preserve">]. Sección </w:t>
      </w:r>
      <w:r w:rsidDel="00000000" w:rsidR="00000000" w:rsidRPr="00000000">
        <w:rPr>
          <w:rFonts w:ascii="Calibri" w:cs="Calibri" w:eastAsia="Calibri" w:hAnsi="Calibri"/>
          <w:i w:val="1"/>
          <w:sz w:val="24"/>
          <w:szCs w:val="24"/>
          <w:rtl w:val="0"/>
        </w:rPr>
        <w:t xml:space="preserve">creditCard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1">
      <w:pPr>
        <w:pStyle w:val="Heading1"/>
        <w:pBdr>
          <w:bottom w:color="000000" w:space="1" w:sz="4" w:val="single"/>
        </w:pBdr>
        <w:ind w:left="284" w:hanging="290"/>
        <w:rPr>
          <w:smallCaps w:val="0"/>
          <w:sz w:val="24"/>
          <w:szCs w:val="24"/>
        </w:rPr>
      </w:pPr>
      <w:r w:rsidDel="00000000" w:rsidR="00000000" w:rsidRPr="00000000">
        <w:rPr>
          <w:rtl w:val="0"/>
        </w:rPr>
      </w:r>
    </w:p>
    <w:tbl>
      <w:tblPr>
        <w:tblStyle w:val="Table5"/>
        <w:tblW w:w="10080.0" w:type="dxa"/>
        <w:jc w:val="left"/>
        <w:tblInd w:w="-6.0"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62">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3.  </w:t>
            </w:r>
          </w:p>
        </w:tc>
        <w:tc>
          <w:tcPr/>
          <w:p w:rsidR="00000000" w:rsidDel="00000000" w:rsidP="00000000" w:rsidRDefault="00000000" w:rsidRPr="00000000" w14:paraId="00000063">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Realizar cargo a TDC por abono realizado de manera anticipada y costo por aclaración no procedente</w:t>
            </w:r>
          </w:p>
        </w:tc>
      </w:tr>
    </w:tbl>
    <w:p w:rsidR="00000000" w:rsidDel="00000000" w:rsidP="00000000" w:rsidRDefault="00000000" w:rsidRPr="00000000" w14:paraId="00000064">
      <w:pPr>
        <w:keepNext w:val="1"/>
        <w:spacing w:after="12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Se debe hacer uso de las reglas de negocio que actualmente se utilizan para validar si una aclaración procede o no procede, si se realiza abono temporal a la tarjeta de crédito del cliente y si se realiza cobro en dado caso de que no proceda la aclaración.</w:t>
      </w:r>
      <w:r w:rsidDel="00000000" w:rsidR="00000000" w:rsidRPr="00000000">
        <w:rPr>
          <w:rtl w:val="0"/>
        </w:rPr>
      </w:r>
    </w:p>
    <w:p w:rsidR="00000000" w:rsidDel="00000000" w:rsidP="00000000" w:rsidRDefault="00000000" w:rsidRPr="00000000" w14:paraId="00000065">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Si la aclaración no procede a favor del cliente, el sistema de aclaraciones debe evaluar si en este caso aplica cargo por aclaración no procedente, de ser el caso, deberá comunicarse hacía SmartVista por medio de Mulesoft indicando el monto que le debe ser cobrado a la tarjeta de crédito. </w:t>
      </w:r>
    </w:p>
    <w:p w:rsidR="00000000" w:rsidDel="00000000" w:rsidP="00000000" w:rsidRDefault="00000000" w:rsidRPr="00000000" w14:paraId="00000066">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 </w:t>
      </w:r>
      <w:r w:rsidDel="00000000" w:rsidR="00000000" w:rsidRPr="00000000">
        <w:rPr>
          <w:rFonts w:ascii="Calibri" w:cs="Calibri" w:eastAsia="Calibri" w:hAnsi="Calibri"/>
          <w:sz w:val="24"/>
          <w:szCs w:val="24"/>
          <w:rtl w:val="0"/>
        </w:rPr>
        <w:t xml:space="preserve">Si durante el proceso de aclaración se le realizó un abono temporal a la TDC entonces el sistema de aclaraciones deberá comunicarse hacía SmartVista por medio de Mulesoft indicando el monto que le debe ser cobrado con la intención de recuperar ese abono temporal.</w:t>
      </w:r>
    </w:p>
    <w:p w:rsidR="00000000" w:rsidDel="00000000" w:rsidP="00000000" w:rsidRDefault="00000000" w:rsidRPr="00000000" w14:paraId="00000067">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En caso de que el cliente no cuente con la línea de crédito suficiente, el sistema de aclaraciones deberá recuperar el abono temporal y el cargo (en caso de que apliquen) haciendo cargos 3 veces al día por 45 días (contando desde el día 1 que se inició la aclaración) hasta que recupere el monto completo.</w:t>
      </w:r>
    </w:p>
    <w:p w:rsidR="00000000" w:rsidDel="00000000" w:rsidP="00000000" w:rsidRDefault="00000000" w:rsidRPr="00000000" w14:paraId="00000068">
      <w:pPr>
        <w:spacing w:after="120" w:before="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1"/>
        <w:pBdr>
          <w:bottom w:color="000000" w:space="1" w:sz="4" w:val="single"/>
        </w:pBdr>
        <w:ind w:left="284"/>
        <w:rPr>
          <w:smallCaps w:val="0"/>
          <w:sz w:val="24"/>
          <w:szCs w:val="24"/>
        </w:rPr>
      </w:pPr>
      <w:r w:rsidDel="00000000" w:rsidR="00000000" w:rsidRPr="00000000">
        <w:rPr>
          <w:smallCaps w:val="0"/>
          <w:sz w:val="24"/>
          <w:szCs w:val="24"/>
          <w:rtl w:val="0"/>
        </w:rPr>
        <w:t xml:space="preserve">Precondiciones de la Necesidad 3</w:t>
      </w:r>
    </w:p>
    <w:p w:rsidR="00000000" w:rsidDel="00000000" w:rsidP="00000000" w:rsidRDefault="00000000" w:rsidRPr="00000000" w14:paraId="0000006A">
      <w:pPr>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número de tarjeta de crédito debe de existir en SmartVista. </w:t>
      </w:r>
    </w:p>
    <w:p w:rsidR="00000000" w:rsidDel="00000000" w:rsidP="00000000" w:rsidRDefault="00000000" w:rsidRPr="00000000" w14:paraId="0000006B">
      <w:pPr>
        <w:numPr>
          <w:ilvl w:val="0"/>
          <w:numId w:val="3"/>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asignada al cliente. </w:t>
      </w:r>
    </w:p>
    <w:p w:rsidR="00000000" w:rsidDel="00000000" w:rsidP="00000000" w:rsidRDefault="00000000" w:rsidRPr="00000000" w14:paraId="0000006C">
      <w:pPr>
        <w:numPr>
          <w:ilvl w:val="0"/>
          <w:numId w:val="3"/>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tarjeta de crédito debe estar en estatus ACT (Activa).</w:t>
      </w:r>
    </w:p>
    <w:p w:rsidR="00000000" w:rsidDel="00000000" w:rsidP="00000000" w:rsidRDefault="00000000" w:rsidRPr="00000000" w14:paraId="0000006D">
      <w:pPr>
        <w:numPr>
          <w:ilvl w:val="0"/>
          <w:numId w:val="3"/>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debe estar conciliado en SmartVista.</w:t>
      </w:r>
    </w:p>
    <w:p w:rsidR="00000000" w:rsidDel="00000000" w:rsidP="00000000" w:rsidRDefault="00000000" w:rsidRPr="00000000" w14:paraId="0000006E">
      <w:pPr>
        <w:numPr>
          <w:ilvl w:val="0"/>
          <w:numId w:val="3"/>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movimiento no reconocido que se desea aclarar no debe pasar de 90 días naturales para solicitar la aclaración.</w:t>
      </w:r>
    </w:p>
    <w:p w:rsidR="00000000" w:rsidDel="00000000" w:rsidP="00000000" w:rsidRDefault="00000000" w:rsidRPr="00000000" w14:paraId="0000006F">
      <w:pPr>
        <w:spacing w:after="0"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Style w:val="Heading1"/>
        <w:pBdr>
          <w:bottom w:color="000000" w:space="1" w:sz="4" w:val="single"/>
        </w:pBdr>
        <w:ind w:left="284"/>
        <w:rPr>
          <w:smallCaps w:val="0"/>
          <w:sz w:val="24"/>
          <w:szCs w:val="24"/>
        </w:rPr>
      </w:pPr>
      <w:bookmarkStart w:colFirst="0" w:colLast="0" w:name="_heading=h.qi4rkze4k6on" w:id="1"/>
      <w:bookmarkEnd w:id="1"/>
      <w:r w:rsidDel="00000000" w:rsidR="00000000" w:rsidRPr="00000000">
        <w:rPr>
          <w:smallCaps w:val="0"/>
          <w:sz w:val="24"/>
          <w:szCs w:val="24"/>
          <w:rtl w:val="0"/>
        </w:rPr>
        <w:t xml:space="preserve">Referencias de la Necesidad 3</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sectPr>
      <w:footerReference r:id="rId8"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Fonts w:ascii="Calibri" w:cs="Calibri" w:eastAsia="Calibri" w:hAnsi="Calibri"/>
        <w:b w:val="1"/>
        <w:smallCaps w:val="1"/>
        <w:color w:val="000000"/>
        <w:rtl w:val="0"/>
      </w:rPr>
      <w:t xml:space="preserve">Página  </w:t>
    </w:r>
    <w:r w:rsidDel="00000000" w:rsidR="00000000" w:rsidRPr="00000000">
      <w:rPr>
        <w:rFonts w:ascii="Calibri" w:cs="Calibri" w:eastAsia="Calibri" w:hAnsi="Calibri"/>
        <w:b w:val="1"/>
        <w:smallCaps w:val="1"/>
        <w:color w:val="000000"/>
      </w:rPr>
      <w:fldChar w:fldCharType="begin"/>
      <w:instrText xml:space="preserve">PAGE</w:instrText>
      <w:fldChar w:fldCharType="separate"/>
      <w:fldChar w:fldCharType="end"/>
    </w:r>
    <w:r w:rsidDel="00000000" w:rsidR="00000000" w:rsidRPr="00000000">
      <w:rPr>
        <w:rFonts w:ascii="Calibri" w:cs="Calibri" w:eastAsia="Calibri" w:hAnsi="Calibri"/>
        <w:b w:val="1"/>
        <w:smallCaps w:val="1"/>
        <w:color w:val="000000"/>
        <w:rtl w:val="0"/>
      </w:rPr>
      <w:t xml:space="preserve">  de  </w:t>
    </w:r>
    <w:r w:rsidDel="00000000" w:rsidR="00000000" w:rsidRPr="00000000">
      <w:rPr>
        <w:rFonts w:ascii="Calibri" w:cs="Calibri" w:eastAsia="Calibri" w:hAnsi="Calibri"/>
        <w:b w:val="1"/>
        <w:smallCaps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before="0" w:line="276" w:lineRule="auto"/>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200025</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6"/>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vAlign w:val="bottom"/>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jc w:val="right"/>
            <w:rPr>
              <w:b w:val="1"/>
              <w:color w:val="000000"/>
            </w:rPr>
          </w:pP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TkdjXLveDNZxq+dQ5FsHYZSVKA==">CgMxLjAyDmguMWlmcDI5d3JvMzNlMg5oLnFpNHJremU0azZvbjgAciExaWNoMVJMOGJHNTNobHV1cnFYX09LdlBxaFdwcVVWT0c=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C83EA9D-75F4-400A-9B25-1C792EA87DBC}"/>
</file>

<file path=customXML/itemProps3.xml><?xml version="1.0" encoding="utf-8"?>
<ds:datastoreItem xmlns:ds="http://schemas.openxmlformats.org/officeDocument/2006/customXml" ds:itemID="{FCD6598D-11A1-48D1-BA28-EC2265B9DC94}"/>
</file>

<file path=customXML/itemProps4.xml><?xml version="1.0" encoding="utf-8"?>
<ds:datastoreItem xmlns:ds="http://schemas.openxmlformats.org/officeDocument/2006/customXml" ds:itemID="{3D609960-2925-46E0-817A-E01B6A95AE5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