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 Requerimiento: CJ_ACL_03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sistema realiza cargo a tarjeta de crédito (TDC) del tarjetahabiente (TH) por abono anticipado y cargo por aclaración no procedente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Sistema de aclaraciones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Claudia Cruz Olmos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color w:val="000000"/>
                <w:rtl w:val="0"/>
              </w:rPr>
              <w:t xml:space="preserve"> de noviembre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aclaraciones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Jaime González Prado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aclaraciones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Victor Hugo Sánchez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C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0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sistema realiza cargo a tarjeta de crédito (TDC) del tarjetahabiente (TH) por abono anticipado y cargo por aclaración no procedente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está considerado la aclaración de movimientos no reconocidos de un producto de Tarjeta de Crédito existente en la plataforma SmartVista (SV).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Realizar cargo a TDC por abono realizado de manera anticipada y costo por aclaración no procedente</w:t>
            </w:r>
          </w:p>
        </w:tc>
      </w:tr>
    </w:tbl>
    <w:p w:rsidR="00000000" w:rsidDel="00000000" w:rsidP="00000000" w:rsidRDefault="00000000" w:rsidRPr="00000000" w14:paraId="00000045">
      <w:pPr>
        <w:keepNext w:val="1"/>
        <w:spacing w:after="12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debe hacer uso de las reglas de negocio que actualmente se utilizan para validar si una aclaración procede o no procede, si se realiza abono temporal a la tarjeta de crédito del cliente y si se realiza cobro en dado caso de que no proceda la aclaración.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Si la aclaración no procede a favor del cliente, el sistema de aclaraciones debe evaluar si en este caso aplica cargo por aclaración no procedente, de ser el caso, deberá comunicarse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hacía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SmartVista por medio de Mulesoft indicando el monto que le debe ser cobrado a la tarjeta de crédito. </w:t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Si durante el proceso de aclaración se le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realizó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un abono temporal a la TDC entonces el sistema de aclaraciones deberá comunicarse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hacía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SmartVista por medio de Mulesoft indicando el monto que le debe ser cobrado con la intención de recuperar ese abono temporal.</w:t>
      </w:r>
    </w:p>
    <w:p w:rsidR="00000000" w:rsidDel="00000000" w:rsidP="00000000" w:rsidRDefault="00000000" w:rsidRPr="00000000" w14:paraId="0000004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En caso de que el cliente no cuente con la línea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rédito suficiente, el sistema de aclaraciones deberá recuperar el abono temporal y el cargo (en caso de que apliquen) haciendo cargos 3 veces al día por 45 días (contando desde el día 1 que 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inició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la aclaración) hasta que recupere el monto completo.</w:t>
      </w:r>
    </w:p>
    <w:p w:rsidR="00000000" w:rsidDel="00000000" w:rsidP="00000000" w:rsidRDefault="00000000" w:rsidRPr="00000000" w14:paraId="00000049">
      <w:pPr>
        <w:spacing w:after="120" w:before="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en estatus ACT (Activa).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movimiento no reconocido que se desea aclarar debe estar conciliado en SmartVista.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movimiento no reconocido que se desea aclarar no debe pasar de 90 días naturales para solicitar la aclaración.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b w:val="1"/>
        <w:color w:val="000000"/>
      </w:rPr>
    </w:pP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200025</wp:posOffset>
          </wp:positionV>
          <wp:extent cx="2787650" cy="54864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</w:pPr>
    <w:rPr>
      <w:szCs w:val="24"/>
      <w:lang w:eastAsia="ar-SA"/>
    </w:rPr>
  </w:style>
  <w:style w:type="paragraph" w:styleId="Ttulo1">
    <w:name w:val="heading 1"/>
    <w:basedOn w:val="Textoindependiente"/>
    <w:next w:val="Textoindependiente"/>
    <w:uiPriority w:val="9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uiPriority w:val="9"/>
    <w:unhideWhenUsed w:val="1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uiPriority w:val="9"/>
    <w:semiHidden w:val="1"/>
    <w:unhideWhenUsed w:val="1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spacing w:after="120" w:before="240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15ftNa7pYmdBXpsYoOvcD6fn4w==">CgMxLjA4AHIhMVpTSWJ3eHVVUE1QcGZ5SExIa05uMnNXM3pRejItRzNi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18F93E16-CB99-49E5-B729-DCF098B26CC1}"/>
</file>

<file path=customXML/itemProps3.xml><?xml version="1.0" encoding="utf-8"?>
<ds:datastoreItem xmlns:ds="http://schemas.openxmlformats.org/officeDocument/2006/customXml" ds:itemID="{86C847AA-F489-4CD2-889F-8394D5109F9B}"/>
</file>

<file path=customXML/itemProps4.xml><?xml version="1.0" encoding="utf-8"?>
<ds:datastoreItem xmlns:ds="http://schemas.openxmlformats.org/officeDocument/2006/customXml" ds:itemID="{821BCF91-E096-42F2-A186-AA2DE4EF3017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2023-11-30T18:48:00Z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