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5.999999999999979" w:firstLine="0"/>
        <w:rPr>
          <w:smallCaps w:val="0"/>
          <w:sz w:val="24"/>
          <w:szCs w:val="24"/>
        </w:rPr>
      </w:pPr>
      <w:r w:rsidDel="00000000" w:rsidR="00000000" w:rsidRPr="00000000">
        <w:rPr>
          <w:rtl w:val="0"/>
        </w:rPr>
      </w:r>
    </w:p>
    <w:p w:rsidR="00000000" w:rsidDel="00000000" w:rsidP="00000000" w:rsidRDefault="00000000" w:rsidRPr="00000000" w14:paraId="00000002">
      <w:pPr>
        <w:pStyle w:val="Heading1"/>
        <w:pBdr>
          <w:bottom w:color="000000" w:space="1" w:sz="4" w:val="single"/>
        </w:pBdr>
        <w:spacing w:after="0" w:before="0" w:lineRule="auto"/>
        <w:ind w:left="-5.999999999999979" w:firstLine="0"/>
        <w:rPr>
          <w:smallCaps w:val="0"/>
          <w:sz w:val="24"/>
          <w:szCs w:val="24"/>
        </w:rPr>
      </w:pPr>
      <w:r w:rsidDel="00000000" w:rsidR="00000000" w:rsidRPr="00000000">
        <w:rPr>
          <w:smallCaps w:val="0"/>
          <w:sz w:val="24"/>
          <w:szCs w:val="24"/>
          <w:rtl w:val="0"/>
        </w:rPr>
        <w:t xml:space="preserve">Descripción de Requerimiento: CJ_APP_10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tl w:val="0"/>
              </w:rPr>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sz w:val="24"/>
                <w:szCs w:val="24"/>
                <w:rtl w:val="0"/>
              </w:rPr>
              <w:t xml:space="preserve">El tarjetahabiente (TH) desactiva (apaga) la tarjeta de crédito (TDC)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Aplicación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Claudia Cruz Olmos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11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9">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032"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Aplicación móvil BanCoppel</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br w:type="textWrapping"/>
              <w:t xml:space="preserve">Edgar Martínez </w:t>
            </w:r>
          </w:p>
        </w:tc>
        <w:tc>
          <w:tcPr>
            <w:vAlign w:val="center"/>
          </w:tcPr>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C">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2D">
      <w:pPr>
        <w:pStyle w:val="Heading2"/>
        <w:spacing w:after="0" w:before="0" w:lineRule="auto"/>
        <w:ind w:left="578" w:hanging="578"/>
        <w:rPr>
          <w:b w:val="1"/>
          <w:i w:val="0"/>
          <w:sz w:val="24"/>
          <w:szCs w:val="24"/>
        </w:rPr>
      </w:pPr>
      <w:r w:rsidDel="00000000" w:rsidR="00000000" w:rsidRPr="00000000">
        <w:rPr>
          <w:b w:val="1"/>
          <w:i w:val="0"/>
          <w:sz w:val="24"/>
          <w:szCs w:val="24"/>
          <w:rtl w:val="0"/>
        </w:rPr>
        <w:t xml:space="preserve">Antecedentes.</w:t>
      </w:r>
    </w:p>
    <w:p w:rsidR="00000000" w:rsidDel="00000000" w:rsidP="00000000" w:rsidRDefault="00000000" w:rsidRPr="00000000" w14:paraId="0000002E">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spacing w:after="0" w:before="0" w:lineRule="auto"/>
        <w:rPr>
          <w:b w:val="1"/>
          <w:i w:val="0"/>
          <w:sz w:val="24"/>
          <w:szCs w:val="24"/>
        </w:rPr>
      </w:pPr>
      <w:r w:rsidDel="00000000" w:rsidR="00000000" w:rsidRPr="00000000">
        <w:rPr>
          <w:b w:val="1"/>
          <w:i w:val="0"/>
          <w:sz w:val="24"/>
          <w:szCs w:val="24"/>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desactiva (apaga) la tarjeta de crédito (TDC) física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producto de Tarjeta de Crédito mediante la plataforma SmartVista (SV).</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Desactivar la tarjeta de crédito física mediante la aplicación móvil BanCoppel</w:t>
            </w:r>
            <w:r w:rsidDel="00000000" w:rsidR="00000000" w:rsidRPr="00000000">
              <w:rPr>
                <w:rtl w:val="0"/>
              </w:rPr>
            </w:r>
          </w:p>
        </w:tc>
      </w:tr>
    </w:tbl>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debe contar con un botón llamado “Bloquear tarjeta” (Apagar tarjeta) dentro de la interfaz donde se visualiza la información detallada de las tarjetas en la aplicación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BanCoppel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 con un </w:t>
      </w:r>
      <w:r w:rsidDel="00000000" w:rsidR="00000000" w:rsidRPr="00000000">
        <w:rPr>
          <w:rFonts w:ascii="Calibri" w:cs="Calibri" w:eastAsia="Calibri" w:hAnsi="Calibri"/>
          <w:sz w:val="24"/>
          <w:szCs w:val="24"/>
          <w:rtl w:val="0"/>
        </w:rPr>
        <w:t xml:space="preserve">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w:t>
      </w:r>
      <w:r w:rsidDel="00000000" w:rsidR="00000000" w:rsidRPr="00000000">
        <w:rPr>
          <w:rFonts w:ascii="Calibri" w:cs="Calibri" w:eastAsia="Calibri" w:hAnsi="Calibri"/>
          <w:sz w:val="24"/>
          <w:szCs w:val="24"/>
          <w:rtl w:val="0"/>
        </w:rPr>
        <w:t xml:space="preserve">o de candado abierto que representa que actualmente la tarjeta se encuentra desbloqueada.</w:t>
      </w:r>
      <w:r w:rsidDel="00000000" w:rsidR="00000000" w:rsidRPr="00000000">
        <w:rPr>
          <w:rtl w:val="0"/>
        </w:rPr>
      </w:r>
    </w:p>
    <w:p w:rsidR="00000000" w:rsidDel="00000000" w:rsidP="00000000" w:rsidRDefault="00000000" w:rsidRPr="00000000" w14:paraId="00000038">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En</w:t>
      </w:r>
      <w:r w:rsidDel="00000000" w:rsidR="00000000" w:rsidRPr="00000000">
        <w:rPr>
          <w:rFonts w:ascii="Calibri" w:cs="Calibri" w:eastAsia="Calibri" w:hAnsi="Calibri"/>
          <w:sz w:val="24"/>
          <w:szCs w:val="24"/>
          <w:rtl w:val="0"/>
        </w:rPr>
        <w:t xml:space="preserve"> el carrusel de tarjetas disponible en el inicio de la aplicación, cada producto de tarjeta deberá contar con un botón llamado “Bloquear” (Apagar tarjeta) con un icono de candado abierto que representa que actualmente la tarjeta se encuentra desbloqueada. Este botón tendrá la misma configuración que el botón “Bloquear tarjeta” disponible en la interfaz del detalle de la tarjeta.</w:t>
      </w:r>
    </w:p>
    <w:p w:rsidR="00000000" w:rsidDel="00000000" w:rsidP="00000000" w:rsidRDefault="00000000" w:rsidRPr="00000000" w14:paraId="00000039">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la API </w:t>
      </w:r>
      <w:r w:rsidDel="00000000" w:rsidR="00000000" w:rsidRPr="00000000">
        <w:rPr>
          <w:rFonts w:ascii="Calibri" w:cs="Calibri" w:eastAsia="Calibri" w:hAnsi="Calibri"/>
          <w:i w:val="1"/>
          <w:sz w:val="24"/>
          <w:szCs w:val="24"/>
          <w:rtl w:val="0"/>
        </w:rPr>
        <w:t xml:space="preserve">getCardListByOwner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A">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 </w:t>
      </w:r>
      <w:r w:rsidDel="00000000" w:rsidR="00000000" w:rsidRPr="00000000">
        <w:rPr>
          <w:rFonts w:ascii="Calibri" w:cs="Calibri" w:eastAsia="Calibri" w:hAnsi="Calibri"/>
          <w:sz w:val="24"/>
          <w:szCs w:val="24"/>
          <w:rtl w:val="0"/>
        </w:rPr>
        <w:t xml:space="preserve">Si se requiere ver los detalles de una tarjeta en específico se deberá hacer un llamado a SmartVista para consumir la API </w:t>
      </w:r>
      <w:r w:rsidDel="00000000" w:rsidR="00000000" w:rsidRPr="00000000">
        <w:rPr>
          <w:rFonts w:ascii="Calibri" w:cs="Calibri" w:eastAsia="Calibri" w:hAnsi="Calibri"/>
          <w:i w:val="1"/>
          <w:sz w:val="24"/>
          <w:szCs w:val="24"/>
          <w:rtl w:val="0"/>
        </w:rPr>
        <w:t xml:space="preserve">getCardData y getInstantCreditStatement</w:t>
      </w:r>
      <w:r w:rsidDel="00000000" w:rsidR="00000000" w:rsidRPr="00000000">
        <w:rPr>
          <w:rFonts w:ascii="Calibri" w:cs="Calibri" w:eastAsia="Calibri" w:hAnsi="Calibri"/>
          <w:sz w:val="24"/>
          <w:szCs w:val="24"/>
          <w:rtl w:val="0"/>
        </w:rPr>
        <w:t xml:space="preserve"> para de esta manera obtener los datos necesarios.</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apagar la tarjeta de crédito física, la tarjeta debe estar en estatus ACT (Activa), si la tarjeta se encuentra en los estatus INA (Inactiva), BLO (Bloqueada), CAN (Cancelada), DES (Destruida), EXT (Extraviada), ROB (Robada), FAL (Falla por deterioro), BLT (Bloqueo temporal) o DAN (Dañada) la opción de desactivar la tarjeta no es aplicable y por ende no estará disponible en la aplicación. </w:t>
      </w:r>
      <w:r w:rsidDel="00000000" w:rsidR="00000000" w:rsidRPr="00000000">
        <w:rPr>
          <w:rFonts w:ascii="Calibri" w:cs="Calibri" w:eastAsia="Calibri" w:hAnsi="Calibri"/>
          <w:sz w:val="24"/>
          <w:szCs w:val="24"/>
          <w:rtl w:val="0"/>
        </w:rPr>
        <w:t xml:space="preserve">Para realizar este bloqueo se deberá hacer un llamado a SmartVista para consumir la API </w:t>
      </w:r>
      <w:r w:rsidDel="00000000" w:rsidR="00000000" w:rsidRPr="00000000">
        <w:rPr>
          <w:rFonts w:ascii="Calibri" w:cs="Calibri" w:eastAsia="Calibri" w:hAnsi="Calibri"/>
          <w:i w:val="1"/>
          <w:sz w:val="24"/>
          <w:szCs w:val="24"/>
          <w:rtl w:val="0"/>
        </w:rPr>
        <w:t xml:space="preserve">blockCard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6</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botón debe cambiar su nombre, icono y funcionalidad dependiendo del estado de la tarjeta; si la tarjeta tiene como estatus ACT (Activa) debe llamarse “Bloquear tarjeta” o </w:t>
      </w:r>
      <w:r w:rsidDel="00000000" w:rsidR="00000000" w:rsidRPr="00000000">
        <w:rPr>
          <w:rFonts w:ascii="Calibri" w:cs="Calibri" w:eastAsia="Calibri" w:hAnsi="Calibri"/>
          <w:sz w:val="24"/>
          <w:szCs w:val="24"/>
          <w:rtl w:val="0"/>
        </w:rPr>
        <w:t xml:space="preserve">“Bloquear” y su icono deberá ser un candado abierto,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 el estatus </w:t>
      </w:r>
      <w:r w:rsidDel="00000000" w:rsidR="00000000" w:rsidRPr="00000000">
        <w:rPr>
          <w:rFonts w:ascii="Calibri" w:cs="Calibri" w:eastAsia="Calibri" w:hAnsi="Calibri"/>
          <w:sz w:val="24"/>
          <w:szCs w:val="24"/>
          <w:rtl w:val="0"/>
        </w:rPr>
        <w:t xml:space="preserve">está</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 BLO (Bloqueado) debe llamarse “Desbloquear tarjeta” o </w:t>
      </w:r>
      <w:r w:rsidDel="00000000" w:rsidR="00000000" w:rsidRPr="00000000">
        <w:rPr>
          <w:rFonts w:ascii="Calibri" w:cs="Calibri" w:eastAsia="Calibri" w:hAnsi="Calibri"/>
          <w:sz w:val="24"/>
          <w:szCs w:val="24"/>
          <w:rtl w:val="0"/>
        </w:rPr>
        <w:t xml:space="preserve">“Desbloquear” y su icono deberá ser un candado cerrado. La funcionalidad será dependiendo el caso en el que se encuentre la tarjeta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Característica </w:t>
      </w:r>
      <w:r w:rsidDel="00000000" w:rsidR="00000000" w:rsidRPr="00000000">
        <w:rPr>
          <w:rFonts w:ascii="Calibri" w:cs="Calibri" w:eastAsia="Calibri" w:hAnsi="Calibri"/>
          <w:b w:val="1"/>
          <w:sz w:val="24"/>
          <w:szCs w:val="24"/>
          <w:rtl w:val="0"/>
        </w:rPr>
        <w:t xml:space="preserve">7</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Cuando el cliente presione el botón de “Bloquear tarjeta” </w:t>
      </w:r>
      <w:r w:rsidDel="00000000" w:rsidR="00000000" w:rsidRPr="00000000">
        <w:rPr>
          <w:rFonts w:ascii="Calibri" w:cs="Calibri" w:eastAsia="Calibri" w:hAnsi="Calibri"/>
          <w:sz w:val="24"/>
          <w:szCs w:val="24"/>
          <w:rtl w:val="0"/>
        </w:rPr>
        <w:t xml:space="preserve">o “Bloquear”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 le debe informar por medio de un aviso emergente que mientras la tarjeta permanezca en este estado no se puede utilizar para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movimientos y darle la opción de retractarse o continuar con la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operación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F">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número de tarjeta de crédito debe de existir en SmartVista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tarjeta de crédito física debe estar asignada al cliente.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cliente debe contar con la tarjeta de crédito física y debe ser visualizada desde la aplicación </w:t>
      </w:r>
      <w:r w:rsidDel="00000000" w:rsidR="00000000" w:rsidRPr="00000000">
        <w:rPr>
          <w:rFonts w:ascii="Calibri" w:cs="Calibri" w:eastAsia="Calibri" w:hAnsi="Calibri"/>
          <w:sz w:val="24"/>
          <w:szCs w:val="24"/>
          <w:rtl w:val="0"/>
        </w:rPr>
        <w:t xml:space="preserve">BanCoppel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SmartVista deberá permitir los cargos recurrentes aún cuando la tarjeta de crédito esté en estatus BLT (Bloqueo temporal).</w:t>
      </w:r>
    </w:p>
    <w:p w:rsidR="00000000" w:rsidDel="00000000" w:rsidP="00000000" w:rsidRDefault="00000000" w:rsidRPr="00000000" w14:paraId="00000044">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p>
    <w:p w:rsidR="00000000" w:rsidDel="00000000" w:rsidP="00000000" w:rsidRDefault="00000000" w:rsidRPr="00000000" w14:paraId="00000045">
      <w:pPr>
        <w:keepNext w:val="1"/>
        <w:numPr>
          <w:ilvl w:val="0"/>
          <w:numId w:val="1"/>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El bloqueo de la tarjeta de crédito es indefinido y se desbloqueará hasta que el cliente lo decida.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Style w:val="Heading1"/>
        <w:pBdr>
          <w:bottom w:color="000000" w:space="1" w:sz="4" w:val="single"/>
        </w:pBdr>
        <w:ind w:left="284"/>
        <w:rPr>
          <w:smallCaps w:val="0"/>
          <w:sz w:val="24"/>
          <w:szCs w:val="24"/>
        </w:rPr>
      </w:pPr>
      <w:bookmarkStart w:colFirst="0" w:colLast="0" w:name="_heading=h.43kolrcghtf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Características 5,6 y 7 </w:t>
      </w:r>
      <w:r w:rsidDel="00000000" w:rsidR="00000000" w:rsidRPr="00000000">
        <w:rPr>
          <w:rFonts w:ascii="Calibri" w:cs="Calibri" w:eastAsia="Calibri" w:hAnsi="Calibri"/>
          <w:sz w:val="24"/>
          <w:szCs w:val="24"/>
          <w:rtl w:val="0"/>
        </w:rPr>
        <w:t xml:space="preserve">[</w:t>
      </w:r>
      <w:hyperlink r:id="rId8">
        <w:r w:rsidDel="00000000" w:rsidR="00000000" w:rsidRPr="00000000">
          <w:rPr>
            <w:rFonts w:ascii="Calibri" w:cs="Calibri" w:eastAsia="Calibri" w:hAnsi="Calibri"/>
            <w:b w:val="1"/>
            <w:color w:val="1155cc"/>
            <w:sz w:val="24"/>
            <w:szCs w:val="24"/>
            <w:u w:val="single"/>
            <w:rtl w:val="0"/>
          </w:rPr>
          <w:t xml:space="preserve">Bancoppel/FSD0107 Configuraciones ambiente SandBox. Versión 5.5</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3.4.1 Gestión del estatus de la tarjeta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Característica 3 [</w:t>
      </w:r>
      <w:hyperlink r:id="rId9">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Característica 4 [</w:t>
      </w:r>
      <w:hyperlink r:id="rId10">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 y getInstantCreditStatement.</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Característica 5 [</w:t>
      </w:r>
      <w:hyperlink r:id="rId11">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blockCard.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Calibri" w:cs="Calibri" w:eastAsia="Calibri" w:hAnsi="Calibri"/>
          <w:sz w:val="24"/>
          <w:szCs w:val="24"/>
        </w:rPr>
      </w:pPr>
      <w:r w:rsidDel="00000000" w:rsidR="00000000" w:rsidRPr="00000000">
        <w:rPr>
          <w:rtl w:val="0"/>
        </w:rPr>
      </w:r>
    </w:p>
    <w:sectPr>
      <w:footerReference r:id="rId12"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1770697</wp:posOffset>
          </wp:positionH>
          <wp:positionV relativeFrom="paragraph">
            <wp:posOffset>204415</wp:posOffset>
          </wp:positionV>
          <wp:extent cx="2787650" cy="5486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paragraph" w:styleId="Prrafodelista">
    <w:name w:val="List Paragraph"/>
    <w:basedOn w:val="Normal"/>
    <w:uiPriority w:val="34"/>
    <w:qFormat w:val="1"/>
    <w:rsid w:val="00172900"/>
    <w:pPr>
      <w:ind w:left="720"/>
      <w:contextualSpacing w:val="1"/>
    </w:p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942bVeOBybgnvYRLMJSJkVUQqzrWAi-5/view?usp=sharing" TargetMode="External"/><Relationship Id="rId13" Type="http://schemas.openxmlformats.org/officeDocument/2006/relationships/customXml" Target="../customXML/item2.xm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11" Type="http://schemas.openxmlformats.org/officeDocument/2006/relationships/hyperlink" Target="https://drive.google.com/file/d/1InfN6d2OGNrPPpMZ_TjV1I8kUvwyPi9x/view?usp=sharing" TargetMode="Externa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yperlink" Target="https://drive.google.com/file/d/1InfN6d2OGNrPPpMZ_TjV1I8kUvwyPi9x/view?usp=sharing" TargetMode="External"/><Relationship Id="rId4" Type="http://schemas.openxmlformats.org/officeDocument/2006/relationships/numbering" Target="numbering.xml"/><Relationship Id="rId9" Type="http://schemas.openxmlformats.org/officeDocument/2006/relationships/hyperlink" Target="https://drive.google.com/file/d/1InfN6d2OGNrPPpMZ_TjV1I8kUvwyPi9x/view?usp=sharing" TargetMode="Externa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X8rqO6+VJvnul59qQlf4vWLITA==">CgMxLjAyDmguNDNrb2xyY2dodGZiOAByITFlZHpQODRCNUpialYtSmJLekNoYXNqN2ZTSG5HNDRMSA==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0C2D91C-3223-450D-84CA-E247678F36B8}"/>
</file>

<file path=customXML/itemProps3.xml><?xml version="1.0" encoding="utf-8"?>
<ds:datastoreItem xmlns:ds="http://schemas.openxmlformats.org/officeDocument/2006/customXml" ds:itemID="{CC8CAF28-09EB-4605-897D-3F24E646479A}"/>
</file>

<file path=customXML/itemProps4.xml><?xml version="1.0" encoding="utf-8"?>
<ds:datastoreItem xmlns:ds="http://schemas.openxmlformats.org/officeDocument/2006/customXml" ds:itemID="{4206A562-A14E-4882-930C-8C5CA7C4BAF5}"/>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Claudia.cruz Cruz Olmos</dc:creator>
  <dcterms:created xsi:type="dcterms:W3CDTF">2023-11-03T19:00:00Z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