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Roboto" w:cs="Roboto" w:eastAsia="Roboto" w:hAnsi="Roboto"/>
          <w:smallCaps w:val="0"/>
          <w:color w:val="1f1f1f"/>
          <w:sz w:val="18"/>
          <w:szCs w:val="18"/>
          <w:highlight w:val="white"/>
          <w:rtl w:val="0"/>
        </w:rPr>
        <w:t xml:space="preserve">CJ_ATM_03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los movimientos de la tarjeta de crédito (TDC) desde ATM.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ATM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Armando Riveros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ATM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Faustino Barrera</w:t>
              <w:br w:type="textWrapping"/>
              <w:t xml:space="preserve">Eduardo Reinoso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9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Consulta los movimientos de la tarjeta de crédito (TDC) desde los ATM de BanCoppel.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los movimientos de la tarjeta de crédito (TDC) desde un ATM de BanCoppel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identificará el cliente, insertando su tarjeta de crédito en el cajero automático e ingresando  el número de identificación personal (PIN) asociado a la tarjeta en el  ATM de Bancoppel, verificando: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a).-Que se trate de una tarjeta de crédito.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b).-Diferenciar el BIN de la tarjeta para determinar si continúa con el flujo de trabajo actual o con del  nuevo  autorizador SmartVista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b).-Con el BIN  4268071150000000 - 4268071199999999 (Física) se debe de implementar un flujo nuevo  para validar la  existencia del cliente en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SmartVista mediante la API validatePIN</w:t>
      </w:r>
    </w:p>
    <w:p w:rsidR="00000000" w:rsidDel="00000000" w:rsidP="00000000" w:rsidRDefault="00000000" w:rsidRPr="00000000" w14:paraId="00000046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 el menú principal en la opción de otros servicios al ingresar se  deberá de mostrarse en la siguiente pantalla  la opción “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highlight w:val="white"/>
          <w:rtl w:val="0"/>
        </w:rPr>
        <w:t xml:space="preserve">Consulta de movimientos de tarjeta de crédito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”, el sistema deberá de verificar que se trata de una tarjeta de crédito, y verificar que no tiene reporte de robo o extravío, antes de mostrar la información a partir de los criterios por los que se deberá de consultar los movimientos, para verificar el estatus de la tarjeta del cliente en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SmartVista  será mediante la API getCardData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ATM debe de permitir que se realicen consultas por los siguientes criterios.</w:t>
        <w:br w:type="textWrapping"/>
      </w:r>
    </w:p>
    <w:p w:rsidR="00000000" w:rsidDel="00000000" w:rsidP="00000000" w:rsidRDefault="00000000" w:rsidRPr="00000000" w14:paraId="0000004A">
      <w:pPr>
        <w:keepNext w:val="1"/>
        <w:keepLines w:val="1"/>
        <w:numPr>
          <w:ilvl w:val="0"/>
          <w:numId w:val="2"/>
        </w:numPr>
        <w:spacing w:after="12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 los últimos 5 movimientos.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detalle que se podrá visualizar de los movimientos consultados serán.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y hora de la transacción.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o comercio donde se realizó la operación.</w:t>
      </w:r>
    </w:p>
    <w:p w:rsidR="00000000" w:rsidDel="00000000" w:rsidP="00000000" w:rsidRDefault="00000000" w:rsidRPr="00000000" w14:paraId="0000004E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Monto de la transacción.</w:t>
      </w:r>
    </w:p>
    <w:p w:rsidR="00000000" w:rsidDel="00000000" w:rsidP="00000000" w:rsidRDefault="00000000" w:rsidRPr="00000000" w14:paraId="0000004F">
      <w:pPr>
        <w:keepNext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transacción: Compra, Retiro de efectivo,  Pago,  Cargo recurrente y Cancelación o reverso de alguna transacción.</w:t>
      </w:r>
    </w:p>
    <w:p w:rsidR="00000000" w:rsidDel="00000000" w:rsidP="00000000" w:rsidRDefault="00000000" w:rsidRPr="00000000" w14:paraId="00000050">
      <w:pPr>
        <w:keepNext w:val="1"/>
        <w:numPr>
          <w:ilvl w:val="0"/>
          <w:numId w:val="1"/>
        </w:numPr>
        <w:spacing w:after="12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Saldo disponible. </w:t>
      </w:r>
    </w:p>
    <w:p w:rsidR="00000000" w:rsidDel="00000000" w:rsidP="00000000" w:rsidRDefault="00000000" w:rsidRPr="00000000" w14:paraId="00000051">
      <w:pPr>
        <w:keepNext w:val="1"/>
        <w:spacing w:after="120" w:before="240" w:lineRule="auto"/>
        <w:jc w:val="both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recuperar el detalle de las transacciones desde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SmartVista será mediante el uso de la API getTransactions.</w:t>
      </w:r>
    </w:p>
    <w:p w:rsidR="00000000" w:rsidDel="00000000" w:rsidP="00000000" w:rsidRDefault="00000000" w:rsidRPr="00000000" w14:paraId="0000005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ATM deberá de mostrar la opción de  imprimir el resumen de los movimientos mostrados en papel mostrando:  fecha,   y hora de la transacción, monto de la transacción.  descripción o comercio donde se realizó la operación.</w:t>
      </w:r>
    </w:p>
    <w:p w:rsidR="00000000" w:rsidDel="00000000" w:rsidP="00000000" w:rsidRDefault="00000000" w:rsidRPr="00000000" w14:paraId="00000053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zgnfesnnf7go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Solo se podrán consultar los movimientos de la tarjeta en los ATM de BanCoppel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deberá de haber realizado operaciones previamente con su tarjeta de crédito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no deberá de estar reportada como robada, vencida,  extraviada  o inactiva</w:t>
      </w:r>
    </w:p>
    <w:p w:rsidR="00000000" w:rsidDel="00000000" w:rsidP="00000000" w:rsidRDefault="00000000" w:rsidRPr="00000000" w14:paraId="0000005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inn4ct8gp2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Rule="auto"/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0000ee"/>
            <w:sz w:val="24"/>
            <w:szCs w:val="24"/>
            <w:u w:val="single"/>
            <w:rtl w:val="0"/>
          </w:rPr>
          <w:t xml:space="preserve">apigate_service_description.pdf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Listado de las APIS de SmartVista </w:t>
      </w:r>
    </w:p>
    <w:p w:rsidR="00000000" w:rsidDel="00000000" w:rsidP="00000000" w:rsidRDefault="00000000" w:rsidRPr="00000000" w14:paraId="0000005E">
      <w:pPr>
        <w:spacing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08-getCardData.docx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API para recuperar la información correspondiente a la tarjeta de crédito y estatus de la misma</w:t>
      </w:r>
    </w:p>
    <w:p w:rsidR="00000000" w:rsidDel="00000000" w:rsidP="00000000" w:rsidRDefault="00000000" w:rsidRPr="00000000" w14:paraId="00000061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hyperlink r:id="rId10">
        <w:r w:rsidDel="00000000" w:rsidR="00000000" w:rsidRPr="00000000">
          <w:rPr>
            <w:rFonts w:ascii="Calibri" w:cs="Calibri" w:eastAsia="Calibri" w:hAnsi="Calibri"/>
            <w:i w:val="1"/>
            <w:color w:val="0000ee"/>
            <w:sz w:val="24"/>
            <w:szCs w:val="24"/>
            <w:u w:val="single"/>
            <w:rtl w:val="0"/>
          </w:rPr>
          <w:t xml:space="preserve">14-getTransactions.docx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API para recuperar el detalle de las transacciones realizadas por medio de la tarjeta de crédito y se puede limitar la consulta a un periodo de tiempo </w:t>
      </w:r>
    </w:p>
    <w:p w:rsidR="00000000" w:rsidDel="00000000" w:rsidP="00000000" w:rsidRDefault="00000000" w:rsidRPr="00000000" w14:paraId="00000064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i w:val="1"/>
            <w:color w:val="0000ee"/>
            <w:sz w:val="24"/>
            <w:szCs w:val="24"/>
            <w:u w:val="single"/>
            <w:rtl w:val="0"/>
          </w:rPr>
          <w:t xml:space="preserve">19-getCreditStatementReport.docx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API para recuperar el saldo disponible de la cuenta</w:t>
      </w:r>
    </w:p>
    <w:p w:rsidR="00000000" w:rsidDel="00000000" w:rsidP="00000000" w:rsidRDefault="00000000" w:rsidRPr="00000000" w14:paraId="00000067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lineRule="auto"/>
        <w:rPr>
          <w:rFonts w:ascii="Calibri" w:cs="Calibri" w:eastAsia="Calibri" w:hAnsi="Calibri"/>
          <w:sz w:val="24"/>
          <w:szCs w:val="24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20-validatePin.docx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Rule="auto"/>
        <w:rPr>
          <w:rFonts w:ascii="Calibri" w:cs="Calibri" w:eastAsia="Calibri" w:hAnsi="Calibri"/>
          <w:b w:val="1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API para  verificar si  el PIN que se ingresa corresponde a la tarjeta de crédito que se está ingresando</w:t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8" Type="http://schemas.openxmlformats.org/officeDocument/2006/relationships/hyperlink" Target="https://drive.google.com/file/d/1InfN6d2OGNrPPpMZ_TjV1I8kUvwyPi9x/view?usp=drive_link" TargetMode="External"/><Relationship Id="rId3" Type="http://schemas.openxmlformats.org/officeDocument/2006/relationships/fontTable" Target="fontTable.xml"/><Relationship Id="rId12" Type="http://schemas.openxmlformats.org/officeDocument/2006/relationships/hyperlink" Target="https://docs.google.com/document/d/1YdS-FYxiZlT-FzBaRyYMJt3UiOxMw6oS/edit?usp=drive_link&amp;ouid=101585960130905329221&amp;rtpof=true&amp;sd=true" TargetMode="Externa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11" Type="http://schemas.openxmlformats.org/officeDocument/2006/relationships/hyperlink" Target="https://docs.google.com/document/d/1_0grLJC2UPokpMI-AAc4-JKJm1XResj_/edit?usp=drive_link&amp;ouid=101585960130905329221&amp;rtpof=true&amp;sd=true" TargetMode="Externa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5" Type="http://schemas.openxmlformats.org/officeDocument/2006/relationships/customXml" Target="../customXML/item3.xml"/><Relationship Id="rId10" Type="http://schemas.openxmlformats.org/officeDocument/2006/relationships/hyperlink" Target="https://docs.google.com/document/d/1VjdgecAUlTv0DC8lJyug4p_yYqleeOey/edit?usp=drive_link&amp;ouid=101585960130905329221&amp;rtpof=true&amp;sd=tru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CwvyotL7-7Rw0GnL-InbssjgTuzGpaV/edit?usp=drive_link&amp;ouid=101585960130905329221&amp;rtpof=true&amp;sd=true" TargetMode="External"/><Relationship Id="rId14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9aVMcl+lZrhAQ4fM83GgtDOZ7A==">CgMxLjAyDmgubGd2N3ViNWVkNzlmMg5oLnpnbmZlc25uZjdnbzIOaC51aW5uNGN0OGdwMjU4AHIhMTNjTFcwR0xSdTdIeDk0NG4xZVZvTEYxR1E4WTF1Tllz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33BBD58C-57D2-46AB-80B0-8B3F8A12BCA3}"/>
</file>

<file path=customXML/itemProps3.xml><?xml version="1.0" encoding="utf-8"?>
<ds:datastoreItem xmlns:ds="http://schemas.openxmlformats.org/officeDocument/2006/customXml" ds:itemID="{CF70BDD1-5E7F-43AD-A83F-12C0BDE33592}"/>
</file>

<file path=customXML/itemProps4.xml><?xml version="1.0" encoding="utf-8"?>
<ds:datastoreItem xmlns:ds="http://schemas.openxmlformats.org/officeDocument/2006/customXml" ds:itemID="{BDD14CFE-571C-450C-8D3A-407FAA2D25B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