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sz w:val="12"/>
          <w:szCs w:val="12"/>
        </w:rPr>
      </w:pPr>
      <w:r w:rsidDel="00000000" w:rsidR="00000000" w:rsidRPr="00000000">
        <w:rPr>
          <w:rtl w:val="0"/>
        </w:rPr>
      </w:r>
    </w:p>
    <w:p w:rsidR="00000000" w:rsidDel="00000000" w:rsidP="00000000" w:rsidRDefault="00000000" w:rsidRPr="00000000" w14:paraId="00000002">
      <w:pPr>
        <w:pBdr>
          <w:bottom w:color="000000" w:space="1" w:sz="4" w:val="single"/>
        </w:pBdr>
        <w:spacing w:after="0" w:before="0" w:lineRule="auto"/>
        <w:ind w:left="283" w:hanging="289"/>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Descripción de Requerimiento: CJ_APP_13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visualiza el CVV2 dinámico de la tarjeta de crédito (TDC)</w:t>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Aplicación BanCoppel</w:t>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Claudia Cruz Olmos</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03 de noviembre del 2023</w:t>
            </w:r>
          </w:p>
        </w:tc>
        <w:tc>
          <w:tcPr>
            <w:tcBorders>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Fábrica de productos digitales</w:t>
            </w:r>
            <w:r w:rsidDel="00000000" w:rsidR="00000000" w:rsidRPr="00000000">
              <w:rPr>
                <w:rtl w:val="0"/>
              </w:rPr>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6">
            <w:pPr>
              <w:spacing w:after="0" w:lineRule="auto"/>
              <w:rPr>
                <w:rFonts w:ascii="Calibri" w:cs="Calibri" w:eastAsia="Calibri" w:hAnsi="Calibri"/>
              </w:rPr>
            </w:pPr>
            <w:r w:rsidDel="00000000" w:rsidR="00000000" w:rsidRPr="00000000">
              <w:rPr>
                <w:rFonts w:ascii="Calibri" w:cs="Calibri" w:eastAsia="Calibri" w:hAnsi="Calibri"/>
                <w:rtl w:val="0"/>
              </w:rPr>
              <w:t xml:space="preserve">Caroline Peimin Su</w:t>
            </w:r>
          </w:p>
        </w:tc>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Aplicación móvil BanCoppel</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Martínez Robledo</w:t>
            </w:r>
          </w:p>
        </w:tc>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6">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7">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8">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visualiza el CVV2 dinámico de la tarjeta de crédito (TDC)</w:t>
      </w:r>
      <w:r w:rsidDel="00000000" w:rsidR="00000000" w:rsidRPr="00000000">
        <w:rPr>
          <w:b w:val="1"/>
          <w:sz w:val="16"/>
          <w:szCs w:val="16"/>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w:t>
      </w:r>
      <w:r w:rsidDel="00000000" w:rsidR="00000000" w:rsidRPr="00000000">
        <w:rPr>
          <w:rFonts w:ascii="Calibri" w:cs="Calibri" w:eastAsia="Calibri" w:hAnsi="Calibri"/>
          <w:sz w:val="24"/>
          <w:szCs w:val="24"/>
          <w:rtl w:val="0"/>
        </w:rPr>
        <w:t xml:space="preserve">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considerado la visualización, configuración y validación de un producto de Tarjeta de Crédito mediante la plataforma SmartVista (SV).</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rHeight w:val="900.9375" w:hRule="atLeast"/>
          <w:tblHeader w:val="0"/>
        </w:trPr>
        <w:tc>
          <w:tcPr/>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Visualizar y </w:t>
            </w:r>
            <w:r w:rsidDel="00000000" w:rsidR="00000000" w:rsidRPr="00000000">
              <w:rPr>
                <w:rFonts w:ascii="Calibri" w:cs="Calibri" w:eastAsia="Calibri" w:hAnsi="Calibri"/>
                <w:b w:val="1"/>
                <w:sz w:val="24"/>
                <w:szCs w:val="24"/>
                <w:highlight w:val="white"/>
                <w:rtl w:val="0"/>
              </w:rPr>
              <w:t xml:space="preserve">generar</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CVV2 dinámico de la tarjeta de crédito mediante la aplicación móvil BanCoppel</w:t>
            </w:r>
            <w:r w:rsidDel="00000000" w:rsidR="00000000" w:rsidRPr="00000000">
              <w:rPr>
                <w:rtl w:val="0"/>
              </w:rPr>
            </w:r>
          </w:p>
        </w:tc>
      </w:tr>
    </w:tbl>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debe contar con un botón llamado “Compras por internet” dentro de la interfaz donde se visualizan las operaciones que se pueden realizar en la aplicación móvil.</w:t>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Debe existir una interfaz para compras por internet donde se visualicen los pro</w:t>
      </w:r>
      <w:r w:rsidDel="00000000" w:rsidR="00000000" w:rsidRPr="00000000">
        <w:rPr>
          <w:rFonts w:ascii="Calibri" w:cs="Calibri" w:eastAsia="Calibri" w:hAnsi="Calibri"/>
          <w:sz w:val="24"/>
          <w:szCs w:val="24"/>
          <w:rtl w:val="0"/>
        </w:rPr>
        <w:t xml:space="preserve">ductos de tarjeta con los que cuenta el cliente, a su vez la interfaz debe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disponer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un botón llamado “Generar código de seguridad”. Para mostrar los productos de tarjeta se deberá hacer un llamado a Sma</w:t>
      </w:r>
      <w:r w:rsidDel="00000000" w:rsidR="00000000" w:rsidRPr="00000000">
        <w:rPr>
          <w:rFonts w:ascii="Calibri" w:cs="Calibri" w:eastAsia="Calibri" w:hAnsi="Calibri"/>
          <w:sz w:val="24"/>
          <w:szCs w:val="24"/>
          <w:rtl w:val="0"/>
        </w:rPr>
        <w:t xml:space="preserve">rtVista para consumir el API getCardListByOwner.</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le debe notificar los términos y condiciones al cliente para hacer uso de este servicio, esto se notifica la primera vez de uso y se requiere la aceptación de la activación del CVV2 dinámico en su tarjeta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crédito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Al presionar el botón llamado “Generar código de seguridad” la interfaz debe mostrar el código de seguridad correspondiente junto al tiempo de vigencia de este. Para generar este código de seguridad se deberá hacer un llamado a SmartVista para consumir el API generateCVC2.</w:t>
      </w:r>
      <w:r w:rsidDel="00000000" w:rsidR="00000000" w:rsidRPr="00000000">
        <w:br w:type="page"/>
      </w:r>
      <w:r w:rsidDel="00000000" w:rsidR="00000000" w:rsidRPr="00000000">
        <w:rPr>
          <w:rtl w:val="0"/>
        </w:rPr>
      </w:r>
    </w:p>
    <w:p w:rsidR="00000000" w:rsidDel="00000000" w:rsidP="00000000" w:rsidRDefault="00000000" w:rsidRPr="00000000" w14:paraId="00000045">
      <w:pPr>
        <w:spacing w:after="120" w:before="0" w:lineRule="auto"/>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sz w:val="24"/>
          <w:szCs w:val="24"/>
          <w:rtl w:val="0"/>
        </w:rPr>
        <w:t xml:space="preserve">Característica 5: </w:t>
      </w:r>
      <w:r w:rsidDel="00000000" w:rsidR="00000000" w:rsidRPr="00000000">
        <w:rPr>
          <w:rFonts w:ascii="Calibri" w:cs="Calibri" w:eastAsia="Calibri" w:hAnsi="Calibri"/>
          <w:sz w:val="24"/>
          <w:szCs w:val="24"/>
          <w:rtl w:val="0"/>
        </w:rPr>
        <w:t xml:space="preserve">Una vez que el cliente presione el botón “Generar código de seguridad” deberá aparecer dentro de la interfaz un botón con la leyenda “¡He terminado!”. Este botón servirá para redirigir al cliente al inicio de su aplicación.</w:t>
      </w:r>
      <w:r w:rsidDel="00000000" w:rsidR="00000000" w:rsidRPr="00000000">
        <w:rPr>
          <w:rtl w:val="0"/>
        </w:rPr>
      </w:r>
    </w:p>
    <w:p w:rsidR="00000000" w:rsidDel="00000000" w:rsidP="00000000" w:rsidRDefault="00000000" w:rsidRPr="00000000" w14:paraId="00000046">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número de tarjeta de crédito debe de existir en SmartVista.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tarjeta de crédito virtual debe estar asignada al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tarjeta de crédito debe estar activa (desbloqueada).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cliente debe aceptar los términos y condiciones del servicio.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tarjeta de crédito previamente fue registrada o habilitada por el cliente para usar el CVV2 dinámico.</w:t>
      </w:r>
    </w:p>
    <w:p w:rsidR="00000000" w:rsidDel="00000000" w:rsidP="00000000" w:rsidRDefault="00000000" w:rsidRPr="00000000" w14:paraId="0000004C">
      <w:pPr>
        <w:keepNext w:val="1"/>
        <w:numPr>
          <w:ilvl w:val="0"/>
          <w:numId w:val="3"/>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4D">
      <w:pPr>
        <w:keepNext w:val="1"/>
        <w:numPr>
          <w:ilvl w:val="0"/>
          <w:numId w:val="3"/>
        </w:numPr>
        <w:spacing w:after="120" w:before="0" w:lineRule="auto"/>
        <w:ind w:left="720" w:hanging="360"/>
        <w:jc w:val="both"/>
        <w:rPr>
          <w:rFonts w:ascii="Calibri" w:cs="Calibri" w:eastAsia="Calibri" w:hAnsi="Calibri"/>
          <w:sz w:val="24"/>
          <w:szCs w:val="24"/>
        </w:rPr>
      </w:pPr>
      <w:r w:rsidDel="00000000" w:rsidR="00000000" w:rsidRPr="00000000">
        <w:rPr>
          <w:rFonts w:ascii="Verdana" w:cs="Verdana" w:eastAsia="Verdana" w:hAnsi="Verdana"/>
          <w:rtl w:val="0"/>
        </w:rPr>
        <w:t xml:space="preserve">El CVV2 solo puede ser utilizado por única ocasión es decir cuando es mostrado sólo se puede comprar en un único comercio.</w:t>
      </w:r>
    </w:p>
    <w:p w:rsidR="00000000" w:rsidDel="00000000" w:rsidP="00000000" w:rsidRDefault="00000000" w:rsidRPr="00000000" w14:paraId="0000004E">
      <w:pPr>
        <w:keepNext w:val="1"/>
        <w:numPr>
          <w:ilvl w:val="0"/>
          <w:numId w:val="3"/>
        </w:numPr>
        <w:spacing w:after="120" w:before="0" w:lineRule="auto"/>
        <w:ind w:left="720" w:hanging="360"/>
        <w:jc w:val="both"/>
        <w:rPr>
          <w:rFonts w:ascii="Calibri" w:cs="Calibri" w:eastAsia="Calibri" w:hAnsi="Calibri"/>
          <w:sz w:val="24"/>
          <w:szCs w:val="24"/>
        </w:rPr>
      </w:pPr>
      <w:r w:rsidDel="00000000" w:rsidR="00000000" w:rsidRPr="00000000">
        <w:rPr>
          <w:rFonts w:ascii="Verdana" w:cs="Verdana" w:eastAsia="Verdana" w:hAnsi="Verdana"/>
          <w:rtl w:val="0"/>
        </w:rPr>
        <w:t xml:space="preserve">El CVV2 solo se mostrará por un tiempo limitado, entonces vuelve a pedir un nuevo CVV2 a SVIP y muestra el nuevo que sería el único válido.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pBdr>
          <w:bottom w:color="000000" w:space="1" w:sz="4" w:val="single"/>
        </w:pBdr>
        <w:ind w:left="284"/>
        <w:rPr>
          <w:smallCaps w:val="0"/>
          <w:sz w:val="24"/>
          <w:szCs w:val="24"/>
        </w:rPr>
      </w:pPr>
      <w:bookmarkStart w:colFirst="0" w:colLast="0" w:name="_heading=h.43kolrcghtfb" w:id="0"/>
      <w:bookmarkEnd w:id="0"/>
      <w:r w:rsidDel="00000000" w:rsidR="00000000" w:rsidRPr="00000000">
        <w:rPr>
          <w:smallCaps w:val="0"/>
          <w:sz w:val="24"/>
          <w:szCs w:val="24"/>
          <w:rtl w:val="0"/>
        </w:rPr>
        <w:t xml:space="preserve">Referencias</w:t>
      </w:r>
    </w:p>
    <w:p w:rsidR="00000000" w:rsidDel="00000000" w:rsidP="00000000" w:rsidRDefault="00000000" w:rsidRPr="00000000" w14:paraId="00000051">
      <w:pPr>
        <w:numPr>
          <w:ilvl w:val="0"/>
          <w:numId w:val="2"/>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2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Sección </w:t>
      </w:r>
      <w:r w:rsidDel="00000000" w:rsidR="00000000" w:rsidRPr="00000000">
        <w:rPr>
          <w:rFonts w:ascii="Calibri" w:cs="Calibri" w:eastAsia="Calibri" w:hAnsi="Calibri"/>
          <w:i w:val="1"/>
          <w:sz w:val="24"/>
          <w:szCs w:val="24"/>
          <w:rtl w:val="0"/>
        </w:rPr>
        <w:t xml:space="preserve">getCardListByOwner.</w:t>
      </w:r>
    </w:p>
    <w:p w:rsidR="00000000" w:rsidDel="00000000" w:rsidP="00000000" w:rsidRDefault="00000000" w:rsidRPr="00000000" w14:paraId="00000052">
      <w:pPr>
        <w:numPr>
          <w:ilvl w:val="0"/>
          <w:numId w:val="2"/>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Bancoppel/FSD0107 Configuraciones ambiente SandBox. Versión 5.0</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1.5 Supuestos y restricciones punto 9.</w:t>
      </w:r>
    </w:p>
    <w:p w:rsidR="00000000" w:rsidDel="00000000" w:rsidP="00000000" w:rsidRDefault="00000000" w:rsidRPr="00000000" w14:paraId="00000053">
      <w:pPr>
        <w:numPr>
          <w:ilvl w:val="0"/>
          <w:numId w:val="2"/>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generateCVC2.</w:t>
      </w:r>
      <w:r w:rsidDel="00000000" w:rsidR="00000000" w:rsidRPr="00000000">
        <w:rPr>
          <w:rtl w:val="0"/>
        </w:rPr>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1770698</wp:posOffset>
          </wp:positionH>
          <wp:positionV relativeFrom="paragraph">
            <wp:posOffset>200025</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VEeWSEXVMH5T+EuSiEzrr8SWlw==">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5A59F68-C6FE-448F-807C-A2F9EE340A78}"/>
</file>

<file path=customXML/itemProps3.xml><?xml version="1.0" encoding="utf-8"?>
<ds:datastoreItem xmlns:ds="http://schemas.openxmlformats.org/officeDocument/2006/customXml" ds:itemID="{EEC02C42-2D78-421F-A935-A50B9EF57701}"/>
</file>

<file path=customXML/itemProps4.xml><?xml version="1.0" encoding="utf-8"?>
<ds:datastoreItem xmlns:ds="http://schemas.openxmlformats.org/officeDocument/2006/customXml" ds:itemID="{4813BC85-4396-4CE9-BB38-FE958F1F7A4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