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h8xpd5s3t5y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CJ_ATM_04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El tarjetahabiente solicita el cambio de NIP de su TDC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 de diciembre de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rFonts w:ascii="Calibri" w:cs="Calibri" w:eastAsia="Calibri" w:hAnsi="Calibri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Peinmin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OFI Web (ATMes)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Abraham Narvaez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Patricia Tovar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Roboto" w:cs="Roboto" w:eastAsia="Roboto" w:hAnsi="Roboto"/>
                <w:color w:val="3c404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Rodolfo Gómez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D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tarjetahabiente solicita el cambio de NIP de su TDC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 considerado la autenticación del cliente y el cambio de NIP de su TDC desde ATM BanCoppel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mediante la plataforma SmartVista (SV).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000000" w:space="1" w:sz="4" w:val="single"/>
        </w:pBdr>
        <w:ind w:left="284" w:hanging="290"/>
        <w:rPr>
          <w:rFonts w:ascii="Roboto" w:cs="Roboto" w:eastAsia="Roboto" w:hAnsi="Roboto"/>
          <w:b w:val="0"/>
          <w:bCs w:val="0"/>
          <w:smallCaps w:val="0"/>
          <w:color w:val="0000ff"/>
          <w:sz w:val="22"/>
          <w:szCs w:val="22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 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El cliente acude al  ATM BanCoppel para cambiar el NIP de su TDC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tarjetahabiente acude al ATM Bancoppel para cambiar el NIP de su TDC.</w:t>
      </w:r>
    </w:p>
    <w:p w:rsidR="00000000" w:rsidDel="00000000" w:rsidP="00000000" w:rsidRDefault="00000000" w:rsidRPr="00000000" w14:paraId="00000047">
      <w:pPr>
        <w:keepNext w:val="1"/>
        <w:spacing w:after="12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ingresa la TDC al ATM BanCoppel y captura su NIP para validar su identidad y consultar información de la tarjeta Para cumplir este punto el equipo de Apificación debe disponibilizar un API recepción de arquitectura de servicios que haga el llamado a la API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get_card_data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Smart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 El tarjetahabiente selecciona la opción de “Cambio de NIP” en el menú.</w:t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tarjetahabiente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digita el nip actual y  posteriormente digita el nuevo nip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cumplir este punto el equipo de Apificación debe disponibilizar las APIs que haga el llamado a las  APIs 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  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generate_pin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”,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validate_pin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y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changePin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en SmartVista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1"/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recibe una confirmación en pantalla de que el NIP ha sido cambiado exitosamente.</w:t>
      </w:r>
    </w:p>
    <w:p w:rsidR="00000000" w:rsidDel="00000000" w:rsidP="00000000" w:rsidRDefault="00000000" w:rsidRPr="00000000" w14:paraId="0000004B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el cliente tenga una tarjeta de crédito activa 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NIP que desea cambiar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apificación debe disponibilizar todas las APIs que requiera el equipo de ATMs.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43kolrcghtfb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Características 1, 2 y 3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Sección 3.4.1 Gestión del estado de la tarjeta.</w:t>
      </w: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110.0" w:type="dxa"/>
      <w:jc w:val="left"/>
      <w:tblInd w:w="-115.0" w:type="dxa"/>
      <w:tblLayout w:type="fixed"/>
      <w:tblLook w:val="0400"/>
    </w:tblPr>
    <w:tblGrid>
      <w:gridCol w:w="10005"/>
      <w:gridCol w:w="105"/>
      <w:tblGridChange w:id="0">
        <w:tblGrid>
          <w:gridCol w:w="10005"/>
          <w:gridCol w:w="105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</w:rPr>
            <w:drawing>
              <wp:inline distB="0" distT="0" distL="114300" distR="114300">
                <wp:extent cx="2787650" cy="54864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5EB9EDBA-3A14-4A0F-B7C0-14B7005B6B1B}"/>
</file>

<file path=customXml/itemProps2.xml><?xml version="1.0" encoding="utf-8"?>
<ds:datastoreItem xmlns:ds="http://schemas.openxmlformats.org/officeDocument/2006/customXml" ds:itemID="{F5CC7741-9810-40C1-B52C-3DBAED2CBF1D}"/>
</file>

<file path=customXml/itemProps3.xml><?xml version="1.0" encoding="utf-8"?>
<ds:datastoreItem xmlns:ds="http://schemas.openxmlformats.org/officeDocument/2006/customXml" ds:itemID="{1CB09B97-10BA-4056-BFDC-5057D001ECC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