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pBdr>
          <w:bottom w:color="000000" w:space="1" w:sz="4" w:val="single"/>
        </w:pBdr>
        <w:spacing w:after="0" w:before="0" w:lineRule="auto"/>
        <w:ind w:left="283" w:hanging="289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bottom w:color="000000" w:space="1" w:sz="4" w:val="single"/>
        </w:pBdr>
        <w:spacing w:after="0" w:before="0" w:lineRule="auto"/>
        <w:ind w:left="283" w:hanging="289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bottom w:color="000000" w:space="1" w:sz="4" w:val="single"/>
        </w:pBdr>
        <w:spacing w:after="0" w:before="0" w:lineRule="auto"/>
        <w:ind w:left="283" w:hanging="289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bottom w:color="000000" w:space="1" w:sz="4" w:val="single"/>
        </w:pBdr>
        <w:spacing w:after="0" w:before="0" w:lineRule="auto"/>
        <w:ind w:left="283" w:hanging="289"/>
        <w:rPr>
          <w:rFonts w:ascii="Arial" w:cs="Arial" w:eastAsia="Arial" w:hAnsi="Arial"/>
          <w:smallCap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Descripción del Requerimiento: CJ_ATM_05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Ind w:w="-6.999999999999993" w:type="dxa"/>
        <w:tblLayout w:type="fixed"/>
        <w:tblLook w:val="0000"/>
      </w:tblPr>
      <w:tblGrid>
        <w:gridCol w:w="2452"/>
        <w:gridCol w:w="2793"/>
        <w:gridCol w:w="1945"/>
        <w:gridCol w:w="2733"/>
        <w:tblGridChange w:id="0">
          <w:tblGrid>
            <w:gridCol w:w="2452"/>
            <w:gridCol w:w="2793"/>
            <w:gridCol w:w="1945"/>
            <w:gridCol w:w="27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</w:p>
        </w:tc>
        <w:tc>
          <w:tcPr>
            <w:gridSpan w:val="3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6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El tarjetahabiente (TH) realiza la consulta de saldo disponible y/o movimientos de su tarjeta de crédito (TDC).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ALTA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DIRECCIÓN DEL 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SISTEMAS QUE AFECTA: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Aplicación Portal Bancoppel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ELABORÓ: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Jaime Izquierdo Tapia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MÓDULOS: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SmartVista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ELABORACIÓN: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11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de </w:t>
            </w:r>
            <w:r w:rsidDel="00000000" w:rsidR="00000000" w:rsidRPr="00000000">
              <w:rPr>
                <w:rtl w:val="0"/>
              </w:rPr>
              <w:t xml:space="preserve">diciembre 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del 2023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COMPLEJIDAD: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☒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A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Involucrados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1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83"/>
        <w:gridCol w:w="2006"/>
        <w:gridCol w:w="3261"/>
        <w:gridCol w:w="1289"/>
        <w:gridCol w:w="1372"/>
        <w:tblGridChange w:id="0">
          <w:tblGrid>
            <w:gridCol w:w="1883"/>
            <w:gridCol w:w="2006"/>
            <w:gridCol w:w="3261"/>
            <w:gridCol w:w="1289"/>
            <w:gridCol w:w="1372"/>
          </w:tblGrid>
        </w:tblGridChange>
      </w:tblGrid>
      <w:tr>
        <w:trPr>
          <w:cantSplit w:val="0"/>
          <w:trHeight w:val="8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Representante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</w:tr>
      <w:tr>
        <w:trPr>
          <w:cantSplit w:val="0"/>
          <w:trHeight w:val="10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Fabrica de Productos Digitales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Marcela Zoraya Zetina Marique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Directora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Ejecución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Caroline Peinmin Su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Directora del Programa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 Iniciativa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Portal de BanCoppel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Gabriela Aguilar / Alex Vazquez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del Canal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6" w:type="default"/>
          <w:pgSz w:h="15840" w:w="12240" w:orient="portrait"/>
          <w:pgMar w:bottom="776" w:top="851" w:left="1134" w:right="1134" w:header="454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pBdr>
          <w:bottom w:color="000000" w:space="1" w:sz="4" w:val="single"/>
        </w:pBdr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Introducción.</w:t>
      </w:r>
    </w:p>
    <w:p w:rsidR="00000000" w:rsidDel="00000000" w:rsidP="00000000" w:rsidRDefault="00000000" w:rsidRPr="00000000" w14:paraId="00000039">
      <w:pPr>
        <w:pStyle w:val="Heading2"/>
        <w:spacing w:after="0" w:before="0" w:lineRule="auto"/>
        <w:ind w:left="578" w:hanging="578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Antecedentes.</w:t>
      </w:r>
    </w:p>
    <w:p w:rsidR="00000000" w:rsidDel="00000000" w:rsidP="00000000" w:rsidRDefault="00000000" w:rsidRPr="00000000" w14:paraId="0000003A">
      <w:pPr>
        <w:spacing w:after="0" w:before="0" w:lineRule="auto"/>
        <w:ind w:firstLine="578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Unity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tiene como visión evolucionar el ecosistema tecnológico considerando una diferente manera de implementar una nueva solución bancaria central que respalde las necesidades actuales y futuras de nuestros servicios financieros.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0"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Propósito.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60" w:before="120" w:line="240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Conforme al requerimiento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El tarjetahabiente (TH) realiza la consulta de saldo disponible y/o movimientos de su tarjeta de crédito (TDC).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Está considerado la autenticación del cliente y la consulta de saldos y/o movimientos de su TDC desde ATM BanCoppel mediante la plataforma SmartVista (SV).</w:t>
      </w:r>
    </w:p>
    <w:p w:rsidR="00000000" w:rsidDel="00000000" w:rsidP="00000000" w:rsidRDefault="00000000" w:rsidRPr="00000000" w14:paraId="0000003F">
      <w:pPr>
        <w:pStyle w:val="Heading1"/>
        <w:pBdr>
          <w:bottom w:color="000000" w:space="1" w:sz="4" w:val="single"/>
        </w:pBdr>
        <w:ind w:left="284" w:hanging="29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Mejoras / Modificaciones Solicitadas.</w:t>
      </w:r>
    </w:p>
    <w:tbl>
      <w:tblPr>
        <w:tblStyle w:val="Table3"/>
        <w:tblW w:w="10080.0" w:type="dxa"/>
        <w:jc w:val="left"/>
        <w:tblInd w:w="-6.999999999999993" w:type="dxa"/>
        <w:tblLayout w:type="fixed"/>
        <w:tblLook w:val="0400"/>
      </w:tblPr>
      <w:tblGrid>
        <w:gridCol w:w="1701"/>
        <w:gridCol w:w="8379"/>
        <w:tblGridChange w:id="0">
          <w:tblGrid>
            <w:gridCol w:w="1701"/>
            <w:gridCol w:w="83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1"/>
              <w:spacing w:after="120" w:befor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NECESIDAD 1.  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1"/>
              <w:spacing w:after="120" w:befor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Implementar la consulta de saldos y/o movimientos por parte del Tarjetahabiente (TH) de su tarjeta de crédito (TDC) en los ATMs BanCoppel.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1"/>
        <w:spacing w:after="12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Característica 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El tarjetahabiente acude al ATM para consultar el saldo y/o movimientos de su TDC.</w:t>
      </w:r>
    </w:p>
    <w:p w:rsidR="00000000" w:rsidDel="00000000" w:rsidP="00000000" w:rsidRDefault="00000000" w:rsidRPr="00000000" w14:paraId="00000043">
      <w:pPr>
        <w:keepNext w:val="1"/>
        <w:spacing w:after="120" w:before="240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Característica 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El tarjetahabiente ingresa la TDC al ATM y captura su NIP para validar su identidad y consultar información de la tarjeta Para cumplir este punto el equipo de Apificación debe disponibilizar un API de recepción de arquitectura de servicios que haga el llamado a la API 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“</w:t>
      </w:r>
      <w:r w:rsidDel="00000000" w:rsidR="00000000" w:rsidRPr="00000000">
        <w:rPr>
          <w:rFonts w:ascii="Roboto" w:cs="Roboto" w:eastAsia="Roboto" w:hAnsi="Roboto"/>
          <w:color w:val="0000ff"/>
          <w:sz w:val="22"/>
          <w:szCs w:val="22"/>
          <w:rtl w:val="0"/>
        </w:rPr>
        <w:t xml:space="preserve">get_card_data</w:t>
      </w:r>
      <w:r w:rsidDel="00000000" w:rsidR="00000000" w:rsidRPr="00000000">
        <w:rPr>
          <w:rFonts w:ascii="Roboto" w:cs="Roboto" w:eastAsia="Roboto" w:hAnsi="Roboto"/>
          <w:sz w:val="22"/>
          <w:szCs w:val="22"/>
          <w:highlight w:val="white"/>
          <w:rtl w:val="0"/>
        </w:rPr>
        <w:t xml:space="preserve">” en SmartVista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44">
      <w:pPr>
        <w:keepNext w:val="1"/>
        <w:spacing w:after="12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Característica 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 El tarjetahabiente selecciona la opción de “Consulta de saldos y/o movimientos” en el menú.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*Para cumplir este punto el equipo de Apificación debe disponibilizar un API de recepción de arquitectura de servicios que haga el llamado a la API: </w:t>
      </w:r>
      <w:r w:rsidDel="00000000" w:rsidR="00000000" w:rsidRPr="00000000">
        <w:rPr>
          <w:rFonts w:ascii="Roboto" w:cs="Roboto" w:eastAsia="Roboto" w:hAnsi="Roboto"/>
          <w:color w:val="0000ff"/>
          <w:sz w:val="22"/>
          <w:szCs w:val="22"/>
          <w:rtl w:val="0"/>
        </w:rPr>
        <w:t xml:space="preserve">getTransactions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y </w:t>
      </w:r>
      <w:r w:rsidDel="00000000" w:rsidR="00000000" w:rsidRPr="00000000">
        <w:rPr>
          <w:rFonts w:ascii="Roboto" w:cs="Roboto" w:eastAsia="Roboto" w:hAnsi="Roboto"/>
          <w:color w:val="0000ff"/>
          <w:sz w:val="22"/>
          <w:szCs w:val="22"/>
          <w:rtl w:val="0"/>
        </w:rPr>
        <w:t xml:space="preserve">getCardlistbyowner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5">
      <w:pPr>
        <w:pStyle w:val="Heading1"/>
        <w:pBdr>
          <w:bottom w:color="000000" w:space="1" w:sz="4" w:val="single"/>
        </w:pBdr>
        <w:ind w:left="284"/>
        <w:rPr>
          <w:smallCaps w:val="0"/>
          <w:sz w:val="24"/>
          <w:szCs w:val="24"/>
        </w:rPr>
      </w:pPr>
      <w:bookmarkStart w:colFirst="0" w:colLast="0" w:name="_fft07s2qtd88" w:id="0"/>
      <w:bookmarkEnd w:id="0"/>
      <w:r w:rsidDel="00000000" w:rsidR="00000000" w:rsidRPr="00000000">
        <w:rPr>
          <w:smallCaps w:val="0"/>
          <w:sz w:val="24"/>
          <w:szCs w:val="24"/>
          <w:rtl w:val="0"/>
        </w:rPr>
        <w:t xml:space="preserve">Precondiciones de la Necesidad 1 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Que el cliente tenga una tarjeta de crédito activa y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NIP que desea cambiar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equipo de apificación debe disponibilizar todas las APIs que requiera el equipo de ATMs.</w:t>
      </w:r>
    </w:p>
    <w:p w:rsidR="00000000" w:rsidDel="00000000" w:rsidP="00000000" w:rsidRDefault="00000000" w:rsidRPr="00000000" w14:paraId="00000048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pBdr>
          <w:bottom w:color="000000" w:space="1" w:sz="4" w:val="single"/>
        </w:pBdr>
        <w:ind w:left="284"/>
        <w:rPr>
          <w:smallCaps w:val="0"/>
          <w:sz w:val="24"/>
          <w:szCs w:val="24"/>
        </w:rPr>
      </w:pPr>
      <w:bookmarkStart w:colFirst="0" w:colLast="0" w:name="_d93y5qv28te2" w:id="1"/>
      <w:bookmarkEnd w:id="1"/>
      <w:r w:rsidDel="00000000" w:rsidR="00000000" w:rsidRPr="00000000">
        <w:rPr>
          <w:smallCaps w:val="0"/>
          <w:sz w:val="24"/>
          <w:szCs w:val="24"/>
          <w:rtl w:val="0"/>
        </w:rPr>
        <w:t xml:space="preserve">Referencias de la Necesidad 1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1"/>
        </w:numPr>
        <w:spacing w:after="0" w:before="0" w:line="277.0525932312012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Característica 1.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Bancoppel/FSD0107 Configuraciones ambiente SandBox. Versión 5.0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].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Sección 3.6.5 Consulta de movimientos (transacciones).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1"/>
        </w:numPr>
        <w:spacing w:after="0" w:before="0" w:line="277.0525932312012" w:lineRule="auto"/>
        <w:ind w:left="720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Característica 2.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APIGate Service Description. Versión 7 September 2023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 Sección getTransactions.</w:t>
      </w:r>
      <w:r w:rsidDel="00000000" w:rsidR="00000000" w:rsidRPr="00000000">
        <w:rPr>
          <w:rtl w:val="0"/>
        </w:rPr>
      </w:r>
    </w:p>
    <w:sectPr>
      <w:footerReference r:id="rId7" w:type="default"/>
      <w:type w:val="nextPage"/>
      <w:pgSz w:h="15840" w:w="12240" w:orient="portrait"/>
      <w:pgMar w:bottom="776" w:top="851" w:left="1134" w:right="1134" w:header="709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right"/>
      <w:rPr>
        <w:rFonts w:ascii="Tahoma" w:cs="Tahoma" w:eastAsia="Tahoma" w:hAnsi="Tahoma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de 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1770698</wp:posOffset>
          </wp:positionH>
          <wp:positionV relativeFrom="paragraph">
            <wp:posOffset>-19049</wp:posOffset>
          </wp:positionV>
          <wp:extent cx="2787650" cy="54864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87650" cy="54864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lang w:val="es-MX"/>
      </w:rPr>
    </w:rPrDefault>
    <w:pPrDefault>
      <w:pPr>
        <w:spacing w:after="6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432" w:hanging="432"/>
      <w:jc w:val="both"/>
    </w:pPr>
    <w:rPr>
      <w:rFonts w:ascii="Calibri" w:cs="Calibri" w:eastAsia="Calibri" w:hAnsi="Calibri"/>
      <w:b w:val="1"/>
      <w:bCs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576" w:hanging="576"/>
      <w:jc w:val="both"/>
    </w:pPr>
    <w:rPr>
      <w:rFonts w:ascii="Calibri" w:cs="Calibri" w:eastAsia="Calibri" w:hAnsi="Calibri"/>
      <w:i w:val="1"/>
      <w:i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left="720" w:hanging="720"/>
    </w:pPr>
    <w:rPr>
      <w:rFonts w:ascii="Calibri" w:cs="Calibri" w:eastAsia="Calibri" w:hAnsi="Calibri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spacing w:before="240" w:lineRule="auto"/>
      <w:ind w:left="1008" w:hanging="1008"/>
    </w:pPr>
    <w:rPr>
      <w:rFonts w:ascii="Calibri" w:cs="Calibri" w:eastAsia="Calibri" w:hAnsi="Calibri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before="240" w:lineRule="auto"/>
      <w:ind w:left="1152" w:hanging="1152"/>
    </w:pPr>
    <w:rPr>
      <w:rFonts w:ascii="Calibri" w:cs="Calibri" w:eastAsia="Calibri" w:hAnsi="Calibri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before="240" w:lineRule="auto"/>
      <w:jc w:val="right"/>
    </w:pPr>
    <w:rPr>
      <w:rFonts w:ascii="Calibri" w:cs="Calibri" w:eastAsia="Calibri" w:hAnsi="Calibri"/>
      <w:sz w:val="28"/>
      <w:szCs w:val="28"/>
    </w:rPr>
  </w:style>
  <w:style w:type="paragraph" w:styleId="Subtitle">
    <w:name w:val="Subtitle"/>
    <w:basedOn w:val="Normal"/>
    <w:next w:val="Normal"/>
    <w:pPr>
      <w:keepNext w:val="1"/>
      <w:spacing w:after="120" w:before="240" w:lineRule="auto"/>
      <w:jc w:val="center"/>
    </w:pPr>
    <w:rPr>
      <w:rFonts w:ascii="Arial" w:cs="Arial" w:eastAsia="Arial" w:hAnsi="Arial"/>
      <w:i w:val="1"/>
      <w:iCs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ntTable" Target="fontTable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customXml" Target="../customXml/item3.xml"/><Relationship Id="rId4" Type="http://schemas.openxmlformats.org/officeDocument/2006/relationships/numbering" Target="numbering.xml"/><Relationship Id="rId9" Type="http://schemas.openxmlformats.org/officeDocument/2006/relationships/customXml" Target="../customXml/item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648767ADDAC4198CE9FAE936A0E2E" ma:contentTypeVersion="10" ma:contentTypeDescription="Create a new document." ma:contentTypeScope="" ma:versionID="bfce7f8d432cf4f2b54d649024185cc8">
  <xsd:schema xmlns:xsd="http://www.w3.org/2001/XMLSchema" xmlns:xs="http://www.w3.org/2001/XMLSchema" xmlns:p="http://schemas.microsoft.com/office/2006/metadata/properties" xmlns:ns2="bcf21e1d-e7b2-4ba8-bb72-ca5e3ff425f9" targetNamespace="http://schemas.microsoft.com/office/2006/metadata/properties" ma:root="true" ma:fieldsID="db0e3ff7a073da1765cf4c642dfd2d3e" ns2:_="">
    <xsd:import namespace="bcf21e1d-e7b2-4ba8-bb72-ca5e3ff425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21e1d-e7b2-4ba8-bb72-ca5e3ff42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f21e1d-e7b2-4ba8-bb72-ca5e3ff425f9" xsi:nil="true"/>
  </documentManagement>
</p:properties>
</file>

<file path=customXml/itemProps1.xml><?xml version="1.0" encoding="utf-8"?>
<ds:datastoreItem xmlns:ds="http://schemas.openxmlformats.org/officeDocument/2006/customXml" ds:itemID="{5747B321-A13C-4ACA-95DD-E15635BEE321}"/>
</file>

<file path=customXml/itemProps2.xml><?xml version="1.0" encoding="utf-8"?>
<ds:datastoreItem xmlns:ds="http://schemas.openxmlformats.org/officeDocument/2006/customXml" ds:itemID="{1F9B6142-EEE9-42D2-8F68-AAE895C1BC8A}"/>
</file>

<file path=customXml/itemProps3.xml><?xml version="1.0" encoding="utf-8"?>
<ds:datastoreItem xmlns:ds="http://schemas.openxmlformats.org/officeDocument/2006/customXml" ds:itemID="{FD006239-A613-4318-B9D2-4B8C6A01DFA2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0x010100CC2648767ADDAC4198CE9FAE936A0E2E</vt:lpwstr>
  </property>
</Properties>
</file>