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h8xpd5s3t5y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CJ_OFI_11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El tarjetahabiente solicita el cambio de NIP de su TDC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Jaime Izquierdo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 de noviembre de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Fabrica de productos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OFI Web (Sucursales)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Abraham Narvaez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Patricia Tovar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6">
      <w:pPr>
        <w:pStyle w:val="Heading2"/>
        <w:spacing w:after="0" w:before="0" w:lineRule="auto"/>
        <w:ind w:left="578" w:hanging="578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7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 tarjetahabiente solicita el cambio de NIP de su TDC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 considerado la autenticación del cliente y el cambio de NIP de su TDC desde OFI Web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mediante la plataforma SmartVista (SV).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El cliente acude a la sucursal solicitando cambio de NIP de su TDC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tarjetahabiente acude a la sucursal solicitando cambio de NIP en su TDC.</w:t>
      </w:r>
    </w:p>
    <w:p w:rsidR="00000000" w:rsidDel="00000000" w:rsidP="00000000" w:rsidRDefault="00000000" w:rsidRPr="00000000" w14:paraId="00000041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cajero o ejecutivo bancario solicita al tarjetahabiente ingrese la TDC al lector de tarjeta.</w:t>
      </w:r>
    </w:p>
    <w:p w:rsidR="00000000" w:rsidDel="00000000" w:rsidP="00000000" w:rsidRDefault="00000000" w:rsidRPr="00000000" w14:paraId="00000042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cajero o ejecutivo bancario solicita al tarjetahabiente la huella o identificación facial para validar su identidad y consultar la información de la tarjeta. Para cumplir este punto el equipo de Apificación debe disponibilizar un API recepción de arquitectura de servicios que haga el llamado a la API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get_card_data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Smart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Vista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tarjetahabiente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digita el nip actual y  posteriormente digita el nuevo nip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cumplir este punto el equipo de Apificación debe disponibilizar las APIs que haga el llamado a las  APIs 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  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generate_pin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”,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validate_pin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y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changePin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en SmartVista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el cliente tenga una huella registrada.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equipo de apificación debe disponibilizar todas las APIs que requiera el equipo de OFIWEB.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43kolrcghtfb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Características 1, 2 y 3 [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Bancoppel/FSD0107 Configuraciones ambiente SandBox. Versión 5.0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Sección 3.4.1 Gestión del estado de la tarjeta.</w:t>
      </w: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110.0" w:type="dxa"/>
      <w:jc w:val="left"/>
      <w:tblInd w:w="-115.0" w:type="dxa"/>
      <w:tblLayout w:type="fixed"/>
      <w:tblLook w:val="0400"/>
    </w:tblPr>
    <w:tblGrid>
      <w:gridCol w:w="10005"/>
      <w:gridCol w:w="105"/>
      <w:tblGridChange w:id="0">
        <w:tblGrid>
          <w:gridCol w:w="10005"/>
          <w:gridCol w:w="105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B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</w:rPr>
            <w:drawing>
              <wp:inline distB="0" distT="0" distL="114300" distR="114300">
                <wp:extent cx="2787650" cy="54864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i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380A3C83-8B32-4341-BA23-94B7E5FEFD09}"/>
</file>

<file path=customXml/itemProps2.xml><?xml version="1.0" encoding="utf-8"?>
<ds:datastoreItem xmlns:ds="http://schemas.openxmlformats.org/officeDocument/2006/customXml" ds:itemID="{8FF99168-A41B-4029-B23B-A82CE28AE224}"/>
</file>

<file path=customXml/itemProps3.xml><?xml version="1.0" encoding="utf-8"?>
<ds:datastoreItem xmlns:ds="http://schemas.openxmlformats.org/officeDocument/2006/customXml" ds:itemID="{EFF7998C-C887-4F02-BB95-BEC71CC5034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