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lgv7ub5ed79f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CJ_OFI_19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spacing w:after="12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Recepción de TDC por lotes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Ricardo Vargas Bazán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febrero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 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Escalona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Martinez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8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9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Recepción de TDC por lotes.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considerado la solicitud de la tarjeta física, configuración y validación de un nuevo producto de Tarjeta de Crédito mediante la plataforma SmartVista (SV).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Recepción por lotes.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requiere que, al momento de crear las solicitudes de creación de tarjetas, estas sean agrupadas y sean enviadas en lotes, en diferentes ventanas de tiempo hacia los personalizadores.</w:t>
      </w:r>
    </w:p>
    <w:p w:rsidR="00000000" w:rsidDel="00000000" w:rsidP="00000000" w:rsidRDefault="00000000" w:rsidRPr="00000000" w14:paraId="00000043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requiere crear lotes de tarjetas físicas innominadas, las cuales deben estar disponibles en las sucursales, con el fin que puedan ser entregadas inmediatamente al cliente, si éste así lo solicita.</w:t>
      </w:r>
    </w:p>
    <w:p w:rsidR="00000000" w:rsidDel="00000000" w:rsidP="00000000" w:rsidRDefault="00000000" w:rsidRPr="00000000" w14:paraId="00000044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 solicitud de los lotes de tarjeta debe hacerse desde un área operativa de Bancoppel, para esto se debe manejar el flujo de aplicación “1009 - Instant issuing pool card generation”.</w:t>
      </w:r>
    </w:p>
    <w:p w:rsidR="00000000" w:rsidDel="00000000" w:rsidP="00000000" w:rsidRDefault="00000000" w:rsidRPr="00000000" w14:paraId="00000045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requiere que, SVCG generé el archivo de embozado con la información de banda y datos de EMV, estos se deben enviar en la estructura definida por el personalizador G+D. Este archivo se debe generar con llaves “pgp”.</w:t>
      </w:r>
    </w:p>
    <w:p w:rsidR="00000000" w:rsidDel="00000000" w:rsidP="00000000" w:rsidRDefault="00000000" w:rsidRPr="00000000" w14:paraId="00000046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requiere que en el archivo OCG que entrega SVBO a SVCG, se genere un id de lote, por cada lote de tarjetas enviadas a realizar, siguiendo la siguiente estructura: Campo Id lote: SVAAMMDDXXXX###, donde XXXX es el cardtype y el ### un consecutivo.</w:t>
      </w:r>
    </w:p>
    <w:p w:rsidR="00000000" w:rsidDel="00000000" w:rsidP="00000000" w:rsidRDefault="00000000" w:rsidRPr="00000000" w14:paraId="00000047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Con base en el Id de lote generado, se requiere disponibilizar un API, que será consumido por las sucursales con el fin de obtener las tarjetas relacionadas a cada lote. El objetivo de este consumo es validar lo que fue enviado a realizar Vs lo que realmente generó el personalizador.</w:t>
      </w:r>
    </w:p>
    <w:p w:rsidR="00000000" w:rsidDel="00000000" w:rsidP="00000000" w:rsidRDefault="00000000" w:rsidRPr="00000000" w14:paraId="00000048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requiere listar las llaves de banda magnética a utilizar para el proceso de emisión y autorización de las tarjetas físicas. Específicamente: CVK: Clave de verificación de la tarjeta, CVK2: Clave de verificación de la tarjeta 2, IBM PVK: Clave de verificación del PIN, PEK: Clave de cifrado del PIN.</w:t>
      </w:r>
    </w:p>
    <w:p w:rsidR="00000000" w:rsidDel="00000000" w:rsidP="00000000" w:rsidRDefault="00000000" w:rsidRPr="00000000" w14:paraId="00000049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requiere realizar las siguientes llaves de EMV a utilizar para el proceso de emisión y autorización de las tarjetas físicas: IMK_AC: Clave maestra del emisor para los criptogramas de la aplicación, IMK CVC3: Clave maestra del emisor CVC3, IMK_SMC (ENC): Clave maestra del emisor para la confidencialidad de la mensajería segura, IMK_SMI (MAC): Clave maestra del emisor para la integridad de la mensajería segura, Issuer RSA Key: Clave RSA del emisor, ZPK: Clave de PIN de zona, PEK: Clave de cifrado del PIN, KEK : Clave de cifrado de clave.</w:t>
      </w:r>
    </w:p>
    <w:p w:rsidR="00000000" w:rsidDel="00000000" w:rsidP="00000000" w:rsidRDefault="00000000" w:rsidRPr="00000000" w14:paraId="0000004A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000000" w:space="1" w:sz="4" w:val="single"/>
        </w:pBdr>
        <w:ind w:left="0" w:firstLine="0"/>
        <w:rPr>
          <w:smallCaps w:val="0"/>
          <w:sz w:val="24"/>
          <w:szCs w:val="24"/>
        </w:rPr>
      </w:pPr>
      <w:bookmarkStart w:colFirst="0" w:colLast="0" w:name="_heading=h.zgnfesnnf7go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Última versión del sistema SiWeb.</w:t>
      </w:r>
    </w:p>
    <w:p w:rsidR="00000000" w:rsidDel="00000000" w:rsidP="00000000" w:rsidRDefault="00000000" w:rsidRPr="00000000" w14:paraId="00000050">
      <w:pPr>
        <w:keepNext w:val="1"/>
        <w:numPr>
          <w:ilvl w:val="0"/>
          <w:numId w:val="1"/>
        </w:numPr>
        <w:spacing w:after="12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contar con la TDC física VISA en Smartvista es necesario contar con las siguientes interfaces en línea de SmartVista: e-Global a SVFE.</w:t>
      </w:r>
    </w:p>
    <w:p w:rsidR="00000000" w:rsidDel="00000000" w:rsidP="00000000" w:rsidRDefault="00000000" w:rsidRPr="00000000" w14:paraId="00000051">
      <w:pPr>
        <w:keepNext w:val="1"/>
        <w:numPr>
          <w:ilvl w:val="0"/>
          <w:numId w:val="1"/>
        </w:numPr>
        <w:spacing w:after="12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contar con la TDC física VISA en Smartvista es necesario contar con las siguientes interfaces internas de SmartVista: SVFE &lt;--&gt; SVIP.</w:t>
      </w:r>
    </w:p>
    <w:p w:rsidR="00000000" w:rsidDel="00000000" w:rsidP="00000000" w:rsidRDefault="00000000" w:rsidRPr="00000000" w14:paraId="00000052">
      <w:pPr>
        <w:keepNext w:val="1"/>
        <w:numPr>
          <w:ilvl w:val="0"/>
          <w:numId w:val="1"/>
        </w:numPr>
        <w:spacing w:after="12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el proceso de día de operación y procesos de tarjeta, es necesario realizar los procesos de: Creación archivos con tarjetas a realizar (OCG) y Recepción archivo con tarjetas creadas IBG.0.</w:t>
      </w:r>
    </w:p>
    <w:p w:rsidR="00000000" w:rsidDel="00000000" w:rsidP="00000000" w:rsidRDefault="00000000" w:rsidRPr="00000000" w14:paraId="0000005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000000" w:space="1" w:sz="4" w:val="single"/>
        </w:pBdr>
        <w:ind w:left="284" w:firstLine="0"/>
        <w:rPr>
          <w:smallCaps w:val="0"/>
          <w:sz w:val="24"/>
          <w:szCs w:val="24"/>
        </w:rPr>
      </w:pPr>
      <w:bookmarkStart w:colFirst="0" w:colLast="0" w:name="_heading=h.uinn4ct8gp25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getCardsByBatch.</w:t>
      </w: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1694497</wp:posOffset>
                </wp:positionH>
                <wp:positionV relativeFrom="paragraph">
                  <wp:posOffset>8632</wp:posOffset>
                </wp:positionV>
                <wp:extent cx="2787650" cy="54864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Tcgbgl5JcoXSSJbjETX3M3GBQ==">CgMxLjAyDmgubGd2N3ViNWVkNzlmMg5oLnpnbmZlc25uZjdnbzIOaC51aW5uNGN0OGdwMjU4AHIhMWJBVzY2MC1KdG9USV8ydXpYU2hWUFhZVjFDVzZFY0NO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BBA401E8-4D60-4681-8DAD-3AD303D9970E}"/>
</file>

<file path=customXML/itemProps3.xml><?xml version="1.0" encoding="utf-8"?>
<ds:datastoreItem xmlns:ds="http://schemas.openxmlformats.org/officeDocument/2006/customXml" ds:itemID="{DAC94423-CD32-4382-AD41-9C6A4F86A0C7}"/>
</file>

<file path=customXML/itemProps4.xml><?xml version="1.0" encoding="utf-8"?>
<ds:datastoreItem xmlns:ds="http://schemas.openxmlformats.org/officeDocument/2006/customXml" ds:itemID="{B0060690-1AB7-4C01-BF13-68142F609B4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