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240" w:lineRule="auto"/>
        <w:ind w:left="283" w:right="0" w:hanging="289"/>
        <w:rPr>
          <w:rFonts w:ascii="Arial" w:cs="Arial" w:eastAsia="Arial" w:hAnsi="Arial"/>
          <w:smallCaps w:val="0"/>
          <w:sz w:val="20"/>
          <w:szCs w:val="20"/>
        </w:rPr>
      </w:pPr>
      <w:bookmarkStart w:colFirst="0" w:colLast="0" w:name="_heading=h.gjdgxs" w:id="0"/>
      <w:bookmarkEnd w:id="0"/>
      <w:r w:rsidDel="00000000" w:rsidR="00000000" w:rsidRPr="00000000">
        <w:rPr>
          <w:rFonts w:ascii="Arial" w:cs="Arial" w:eastAsia="Arial" w:hAnsi="Arial"/>
          <w:smallCaps w:val="0"/>
          <w:sz w:val="20"/>
          <w:szCs w:val="20"/>
          <w:rtl w:val="0"/>
        </w:rPr>
        <w:t xml:space="preserve">Descripción de Requerimiento: CJ_OFI_23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2.0" w:type="dxa"/>
        <w:jc w:val="left"/>
        <w:tblInd w:w="-114.0" w:type="dxa"/>
        <w:tblLayout w:type="fixed"/>
        <w:tblLook w:val="0000"/>
      </w:tblPr>
      <w:tblGrid>
        <w:gridCol w:w="2449"/>
        <w:gridCol w:w="2793"/>
        <w:gridCol w:w="1945"/>
        <w:gridCol w:w="2735"/>
        <w:tblGridChange w:id="0">
          <w:tblGrid>
            <w:gridCol w:w="2449"/>
            <w:gridCol w:w="2793"/>
            <w:gridCol w:w="1945"/>
            <w:gridCol w:w="2735"/>
          </w:tblGrid>
        </w:tblGridChange>
      </w:tblGrid>
      <w:tr>
        <w:trPr>
          <w:cantSplit w:val="0"/>
          <w:tblHeader w:val="0"/>
        </w:trPr>
        <w:tc>
          <w:tcPr>
            <w:tcBorders>
              <w:top w:color="000000" w:space="0" w:sz="4" w:val="single"/>
              <w:left w:color="000000" w:space="0" w:sz="4" w:val="single"/>
            </w:tcBorders>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RQI Implementación de Tarjeta de Crédito – SmartVista</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 </w:t>
            </w:r>
            <w:r w:rsidDel="00000000" w:rsidR="00000000" w:rsidRPr="00000000">
              <w:rPr>
                <w:rtl w:val="0"/>
              </w:rPr>
            </w:r>
          </w:p>
        </w:tc>
      </w:tr>
      <w:tr>
        <w:trPr>
          <w:cantSplit w:val="0"/>
          <w:tblHeader w:val="0"/>
        </w:trPr>
        <w:tc>
          <w:tcPr>
            <w:tcBorders>
              <w:left w:color="000000" w:space="0" w:sz="4" w:val="single"/>
            </w:tcBorders>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shd w:fill="auto"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shd w:fill="auto"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SIWEB</w:t>
            </w:r>
            <w:r w:rsidDel="00000000" w:rsidR="00000000" w:rsidRPr="00000000">
              <w:rPr>
                <w:rtl w:val="0"/>
              </w:rPr>
            </w:r>
          </w:p>
        </w:tc>
      </w:tr>
      <w:tr>
        <w:trPr>
          <w:cantSplit w:val="0"/>
          <w:tblHeader w:val="0"/>
        </w:trPr>
        <w:tc>
          <w:tcPr>
            <w:tcBorders>
              <w:left w:color="000000" w:space="0" w:sz="4" w:val="single"/>
            </w:tcBorders>
            <w:shd w:fill="auto"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shd w:fill="auto"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Ricardo Vargas Bazán</w:t>
            </w:r>
          </w:p>
        </w:tc>
        <w:tc>
          <w:tcPr>
            <w:shd w:fill="auto"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shd w:fill="auto"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SmartVista</w:t>
            </w:r>
          </w:p>
        </w:tc>
      </w:tr>
      <w:tr>
        <w:trPr>
          <w:cantSplit w:val="0"/>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06 de Febrero del 2025</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17">
      <w:pPr>
        <w:pStyle w:val="Heading1"/>
        <w:pBdr>
          <w:bottom w:color="000000" w:space="1" w:sz="4" w:val="single"/>
        </w:pBdr>
        <w:spacing w:after="0" w:before="0" w:line="240" w:lineRule="auto"/>
        <w:ind w:left="284" w:right="0"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240" w:lineRule="auto"/>
        <w:ind w:left="284" w:right="0"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Layout w:type="fixed"/>
        <w:tblLook w:val="0000"/>
      </w:tblPr>
      <w:tblGrid>
        <w:gridCol w:w="1881"/>
        <w:gridCol w:w="2006"/>
        <w:gridCol w:w="3259"/>
        <w:gridCol w:w="1288"/>
        <w:gridCol w:w="1377"/>
        <w:tblGridChange w:id="0">
          <w:tblGrid>
            <w:gridCol w:w="1881"/>
            <w:gridCol w:w="2006"/>
            <w:gridCol w:w="3259"/>
            <w:gridCol w:w="1288"/>
            <w:gridCol w:w="1377"/>
          </w:tblGrid>
        </w:tblGridChange>
      </w:tblGrid>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Fabrica de Productos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Marcela Zoraya Zetina Manrique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Directora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4">
            <w:pPr>
              <w:widowControl w:val="1"/>
              <w:spacing w:before="120" w:lineRule="auto"/>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Gobierno de Configuración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Rafael Elizalde Domiguez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Líder de Gobierno de Configuración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CMS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José Jaimes Ortiz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Líder de Iniciativa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OFI Web BanCoppel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Abraham Narvaez / Patricia Tovar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Líder del canal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0"/>
          <w:pgNumType w:start="1"/>
        </w:sectPr>
      </w:pPr>
      <w:r w:rsidDel="00000000" w:rsidR="00000000" w:rsidRPr="00000000">
        <w:rPr>
          <w:rtl w:val="0"/>
        </w:rPr>
      </w:r>
    </w:p>
    <w:p w:rsidR="00000000" w:rsidDel="00000000" w:rsidP="00000000" w:rsidRDefault="00000000" w:rsidRPr="00000000" w14:paraId="00000034">
      <w:pPr>
        <w:pStyle w:val="Heading1"/>
        <w:pBdr>
          <w:bottom w:color="000000" w:space="1" w:sz="4" w:val="single"/>
        </w:pBdr>
        <w:ind w:left="284" w:right="0"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5">
      <w:pPr>
        <w:pStyle w:val="Heading2"/>
        <w:spacing w:after="0" w:before="0" w:line="240" w:lineRule="auto"/>
        <w:ind w:left="578" w:right="0"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proyecto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tiene como visión evolucionar el ecosistema tecnológico considerando una diferente manera de implementar una nueva solución bancaria central que respalde las necesidades actuales y futuras de nuestros servicios financieros.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0" w:before="0" w:line="24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El tarjetahabiente (TH) realiza cambio a estado dañada de la tarjeta de crédito (TDC) física en la sucursal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creación, configuración y validación de un nuevo producto de Tarjeta de Crédito mediante la plataforma SmartVista (SV).</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pBdr>
          <w:bottom w:color="000000" w:space="1" w:sz="4" w:val="single"/>
        </w:pBdr>
        <w:ind w:left="284" w:right="0"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79.0" w:type="dxa"/>
        <w:jc w:val="left"/>
        <w:tblInd w:w="-114.0" w:type="dxa"/>
        <w:tblLayout w:type="fixed"/>
        <w:tblLook w:val="0000"/>
      </w:tblPr>
      <w:tblGrid>
        <w:gridCol w:w="1699"/>
        <w:gridCol w:w="8380"/>
        <w:tblGridChange w:id="0">
          <w:tblGrid>
            <w:gridCol w:w="1699"/>
            <w:gridCol w:w="8380"/>
          </w:tblGrid>
        </w:tblGridChange>
      </w:tblGrid>
      <w:tr>
        <w:trPr>
          <w:cantSplit w:val="0"/>
          <w:tblHeader w:val="0"/>
        </w:trPr>
        <w:tc>
          <w:tcPr>
            <w:shd w:fill="auto" w:val="clear"/>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shd w:fill="auto" w:val="clear"/>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El tarjetahabiente (TH) realiza cambio a estado dañada de la tarjeta de crédito (TDC) física en la sucursal.</w:t>
            </w:r>
          </w:p>
        </w:tc>
      </w:tr>
    </w:tbl>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Características</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1</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tarjetahabiente (TH) debe presentarse en la sucursal con su identificación oficial y la tarjeta de crédito física dañada.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2:</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personal de la sucursal debe verificar la identidad del tarjetahabiente (TH) y la validez de la tarjeta de crédito física.  Se deberá especificar el método de verificación (ej: comparación de la firma, verificación biométrica, etc.).</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3</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sistema de la sucursal (especificar el nombre del sistema, por ejemplo, "Sistema Bancario") debe permitir al personal registrar el cambio de estado de la tarjeta a "dañada".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4</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sistema debe solicitar al personal la siguiente información (mínimo):</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Número de la tarjeta de crédito física.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Motivo del daño (opcional, pero recomendable para fines estadísticos).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Confirmación por parte del tarjetahabiente (TH) del cambio de estado.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 vez registrado el cambio de estado, el sistema debe: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Desactivar la tarjeta de crédito física inmediatamente para prevenir su uso fraudulento.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Generar un comprobante para el tarjetahabiente (TH) que confirme el cambio de estado y la desactivación de la tarjeta. Este comprobante debe contener información relevante como la fecha, hora, número de tarjeta (parcialmente enmascarado por seguridad), y un folio de la transacción.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Actualizar el estado de la tarjeta en el sistema central (especificar el sistema central y la forma de comunicación, por ejemplo, "actualizar la base de datos de tarjetas de crédito a través de una API").</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6</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sistema debe permitir al personal de la sucursal solicitar una nueva tarjeta de crédito física para el tarjetahabiente (TH) en caso de que lo requiera.  Este proceso debe estar integrado con el proceso de cambio de estado a "dañada".  Se deberá especificar el proceso para la solicitud de nueva tarjeta (ej: si se genera automáticamente, si requiere una solicitud aparte, etc.).</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7</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 debe considerar la seguridad en todo el proceso.  La información sensible (como el número de tarjeta) debe ser manejada de forma segura y de acuerdo con las políticas de seguridad del banco.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Característica 8</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 proporcionar capacitación al personal de la sucursal sobre el procedimiento de cambio de estado a "dañada" de las tarjetas de crédito físicas.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pBdr>
          <w:bottom w:color="000000" w:space="1" w:sz="4" w:val="single"/>
        </w:pBdr>
        <w:ind w:left="284" w:right="0" w:hanging="432"/>
        <w:rPr>
          <w:smallCaps w:val="0"/>
          <w:sz w:val="24"/>
          <w:szCs w:val="24"/>
        </w:rPr>
      </w:pPr>
      <w:bookmarkStart w:colFirst="0" w:colLast="0" w:name="_heading=h.30j0zll" w:id="1"/>
      <w:bookmarkEnd w:id="1"/>
      <w:r w:rsidDel="00000000" w:rsidR="00000000" w:rsidRPr="00000000">
        <w:rPr>
          <w:smallCaps w:val="0"/>
          <w:sz w:val="24"/>
          <w:szCs w:val="24"/>
          <w:rtl w:val="0"/>
        </w:rPr>
        <w:t xml:space="preserve">Precondiciones.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Última versión del sistema OFI Web.</w:t>
      </w:r>
    </w:p>
    <w:p w:rsidR="00000000" w:rsidDel="00000000" w:rsidP="00000000" w:rsidRDefault="00000000" w:rsidRPr="00000000" w14:paraId="0000005E">
      <w:pPr>
        <w:pStyle w:val="Heading1"/>
        <w:pBdr>
          <w:bottom w:color="000000" w:space="1" w:sz="4" w:val="single"/>
        </w:pBdr>
        <w:ind w:left="284" w:right="0" w:hanging="432"/>
        <w:rPr>
          <w:smallCaps w:val="0"/>
          <w:sz w:val="24"/>
          <w:szCs w:val="24"/>
        </w:rPr>
      </w:pPr>
      <w:bookmarkStart w:colFirst="0" w:colLast="0" w:name="_heading=h.1fob9te" w:id="2"/>
      <w:bookmarkEnd w:id="2"/>
      <w:r w:rsidDel="00000000" w:rsidR="00000000" w:rsidRPr="00000000">
        <w:rPr>
          <w:smallCaps w:val="0"/>
          <w:sz w:val="24"/>
          <w:szCs w:val="24"/>
          <w:rtl w:val="0"/>
        </w:rPr>
        <w:t xml:space="preserve">Referencias.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Característica 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APIGate Service Description. Versión 7 September 2023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Sección getCardData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Característica 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APIGate Service Description. Versión 7 September 2023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Sección creditCard.</w:t>
      </w:r>
      <w:r w:rsidDel="00000000" w:rsidR="00000000" w:rsidRPr="00000000">
        <w:rPr>
          <w:rtl w:val="0"/>
        </w:rPr>
      </w:r>
    </w:p>
    <w:sectPr>
      <w:headerReference r:id="rId8" w:type="default"/>
      <w:footerReference r:id="rId9" w:type="default"/>
      <w:type w:val="nextPage"/>
      <w:pgSz w:h="15840" w:w="12240" w:orient="portrait"/>
      <w:pgMar w:bottom="777"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Tahoma" w:cs="Tahoma" w:eastAsia="Tahoma" w:hAnsi="Tahom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187960</wp:posOffset>
          </wp:positionH>
          <wp:positionV relativeFrom="paragraph">
            <wp:posOffset>275590</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1.0" w:type="dxa"/>
      <w:jc w:val="left"/>
      <w:tblInd w:w="-223.0" w:type="dxa"/>
      <w:tblLayout w:type="fixed"/>
      <w:tblLook w:val="0000"/>
    </w:tblPr>
    <w:tblGrid>
      <w:gridCol w:w="5775"/>
      <w:gridCol w:w="4336"/>
      <w:tblGridChange w:id="0">
        <w:tblGrid>
          <w:gridCol w:w="5775"/>
          <w:gridCol w:w="4336"/>
        </w:tblGrid>
      </w:tblGridChange>
    </w:tblGrid>
    <w:tr>
      <w:trPr>
        <w:cantSplit w:val="0"/>
        <w:trHeight w:val="996" w:hRule="atLeast"/>
        <w:tblHeader w:val="0"/>
      </w:trPr>
      <w:tc>
        <w:tcPr>
          <w:shd w:fill="auto"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10111.0" w:type="dxa"/>
      <w:jc w:val="left"/>
      <w:tblInd w:w="-223.0" w:type="dxa"/>
      <w:tblLayout w:type="fixed"/>
      <w:tblLook w:val="0000"/>
    </w:tblPr>
    <w:tblGrid>
      <w:gridCol w:w="5775"/>
      <w:gridCol w:w="4336"/>
      <w:tblGridChange w:id="0">
        <w:tblGrid>
          <w:gridCol w:w="5775"/>
          <w:gridCol w:w="4336"/>
        </w:tblGrid>
      </w:tblGridChange>
    </w:tblGrid>
    <w:tr>
      <w:trPr>
        <w:cantSplit w:val="0"/>
        <w:trHeight w:val="996" w:hRule="atLeast"/>
        <w:tblHeader w:val="0"/>
      </w:trPr>
      <w:tc>
        <w:tcPr>
          <w:shd w:fill="auto"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hanging="432"/>
      <w:jc w:val="both"/>
    </w:pPr>
    <w:rPr>
      <w:rFonts w:ascii="Calibri" w:cs="Calibri" w:eastAsia="Calibri" w:hAnsi="Calibri"/>
      <w:b w:val="1"/>
      <w:i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576" w:right="0" w:hanging="576"/>
      <w:jc w:val="both"/>
    </w:pPr>
    <w:rPr>
      <w:rFonts w:ascii="Calibri" w:cs="Calibri" w:eastAsia="Calibri" w:hAnsi="Calibri"/>
      <w:b w:val="0"/>
      <w:i w:val="1"/>
      <w:smallCaps w:val="0"/>
      <w:strike w:val="0"/>
      <w:color w:val="000000"/>
      <w:sz w:val="22"/>
      <w:szCs w:val="2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hanging="720"/>
      <w:jc w:val="left"/>
    </w:pPr>
    <w:rPr>
      <w:rFonts w:ascii="Calibri" w:cs="Calibri" w:eastAsia="Calibri" w:hAnsi="Calibri"/>
      <w:b w:val="0"/>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ahoma" w:cs="Tahoma" w:eastAsia="Tahoma" w:hAnsi="Tahoma"/>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008" w:right="0" w:hanging="1008"/>
      <w:jc w:val="left"/>
    </w:pPr>
    <w:rPr>
      <w:rFonts w:ascii="Calibri" w:cs="Calibri" w:eastAsia="Calibri" w:hAnsi="Calibri"/>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152" w:right="0" w:hanging="1152"/>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right"/>
    </w:pPr>
    <w:rPr>
      <w:rFonts w:ascii="Calibri" w:cs="Calibri" w:eastAsia="Calibri" w:hAnsi="Calibri"/>
      <w:b w:val="0"/>
      <w:i w:val="0"/>
      <w:smallCaps w:val="0"/>
      <w:strike w:val="0"/>
      <w:color w:val="000000"/>
      <w:sz w:val="28"/>
      <w:szCs w:val="28"/>
      <w:u w:val="none"/>
      <w:shd w:fill="auto" w:val="clear"/>
      <w:vertAlign w:val="baseline"/>
    </w:rPr>
  </w:style>
  <w:style w:type="paragraph" w:styleId="Normal">
    <w:name w:val="Normal"/>
    <w:qFormat w:val="1"/>
    <w:pPr>
      <w:widowControl w:val="0"/>
      <w:overflowPunct w:val="0"/>
      <w:bidi w:val="0"/>
      <w:jc w:val="left"/>
    </w:pPr>
    <w:rPr>
      <w:rFonts w:ascii="Tahoma" w:cs="Tahoma" w:eastAsia="Tahoma" w:hAnsi="Tahoma"/>
      <w:color w:val="auto"/>
      <w:kern w:val="0"/>
      <w:sz w:val="20"/>
      <w:szCs w:val="20"/>
      <w:lang w:bidi="hi-IN" w:eastAsia="zh-CN" w:val="es-MX"/>
    </w:rPr>
  </w:style>
  <w:style w:type="paragraph" w:styleId="Ttulo1">
    <w:name w:val="Heading 1"/>
    <w:basedOn w:val="LOnormal"/>
    <w:next w:val="LOnormal"/>
    <w:qFormat w:val="1"/>
    <w:pPr>
      <w:keepNext w:val="1"/>
      <w:spacing w:after="120" w:before="240" w:line="240" w:lineRule="auto"/>
      <w:ind w:left="432" w:right="0" w:hanging="432"/>
      <w:jc w:val="both"/>
    </w:pPr>
    <w:rPr>
      <w:rFonts w:ascii="Calibri" w:cs="Calibri" w:eastAsia="Calibri" w:hAnsi="Calibri"/>
      <w:b w:val="1"/>
      <w:smallCaps w:val="1"/>
      <w:sz w:val="28"/>
      <w:szCs w:val="28"/>
    </w:rPr>
  </w:style>
  <w:style w:type="paragraph" w:styleId="Ttulo2">
    <w:name w:val="Heading 2"/>
    <w:basedOn w:val="LOnormal"/>
    <w:next w:val="LOnormal"/>
    <w:qFormat w:val="1"/>
    <w:pPr>
      <w:keepNext w:val="1"/>
      <w:spacing w:after="120" w:before="240" w:line="240" w:lineRule="auto"/>
      <w:ind w:left="576" w:right="0" w:hanging="576"/>
      <w:jc w:val="both"/>
    </w:pPr>
    <w:rPr>
      <w:rFonts w:ascii="Calibri" w:cs="Calibri" w:eastAsia="Calibri" w:hAnsi="Calibri"/>
      <w:i w:val="1"/>
      <w:sz w:val="22"/>
      <w:szCs w:val="22"/>
    </w:rPr>
  </w:style>
  <w:style w:type="paragraph" w:styleId="Ttulo3">
    <w:name w:val="Heading 3"/>
    <w:basedOn w:val="LOnormal"/>
    <w:next w:val="LOnormal"/>
    <w:qFormat w:val="1"/>
    <w:pPr>
      <w:keepNext w:val="1"/>
      <w:spacing w:after="60" w:before="240" w:line="240" w:lineRule="auto"/>
      <w:ind w:left="720" w:right="0" w:hanging="720"/>
    </w:pPr>
    <w:rPr>
      <w:rFonts w:ascii="Calibri" w:cs="Calibri" w:eastAsia="Calibri" w:hAnsi="Calibri"/>
      <w:sz w:val="24"/>
      <w:szCs w:val="24"/>
    </w:rPr>
  </w:style>
  <w:style w:type="paragraph" w:styleId="Ttulo4">
    <w:name w:val="Heading 4"/>
    <w:basedOn w:val="LOnormal"/>
    <w:next w:val="LOnormal"/>
    <w:qFormat w:val="1"/>
    <w:pPr>
      <w:keepNext w:val="1"/>
      <w:keepLines w:val="1"/>
      <w:pageBreakBefore w:val="0"/>
      <w:spacing w:after="40" w:before="240" w:line="240" w:lineRule="auto"/>
    </w:pPr>
    <w:rPr>
      <w:b w:val="1"/>
      <w:sz w:val="24"/>
      <w:szCs w:val="24"/>
    </w:rPr>
  </w:style>
  <w:style w:type="paragraph" w:styleId="Ttulo5">
    <w:name w:val="Heading 5"/>
    <w:basedOn w:val="LOnormal"/>
    <w:next w:val="LOnormal"/>
    <w:qFormat w:val="1"/>
    <w:pPr>
      <w:spacing w:after="60" w:before="240" w:line="240" w:lineRule="auto"/>
      <w:ind w:left="1008" w:right="0" w:hanging="1008"/>
    </w:pPr>
    <w:rPr>
      <w:rFonts w:ascii="Calibri" w:cs="Calibri" w:eastAsia="Calibri" w:hAnsi="Calibri"/>
      <w:b w:val="1"/>
      <w:i w:val="1"/>
      <w:sz w:val="26"/>
      <w:szCs w:val="26"/>
    </w:rPr>
  </w:style>
  <w:style w:type="paragraph" w:styleId="Ttulo6">
    <w:name w:val="Heading 6"/>
    <w:basedOn w:val="LOnormal"/>
    <w:next w:val="LOnormal"/>
    <w:qFormat w:val="1"/>
    <w:pPr>
      <w:spacing w:after="60" w:before="240" w:line="240" w:lineRule="auto"/>
      <w:ind w:left="1152" w:right="0" w:hanging="1152"/>
    </w:pPr>
    <w:rPr>
      <w:rFonts w:ascii="Calibri" w:cs="Calibri" w:eastAsia="Calibri" w:hAnsi="Calibri"/>
      <w:b w:val="1"/>
      <w:sz w:val="22"/>
      <w:szCs w:val="22"/>
    </w:rPr>
  </w:style>
  <w:style w:type="character" w:styleId="Vietas">
    <w:name w:val="Viñetas"/>
    <w:qFormat w:val="1"/>
    <w:rPr>
      <w:rFonts w:ascii="OpenSymbol" w:cs="OpenSymbol" w:eastAsia="OpenSymbol" w:hAnsi="OpenSymbol"/>
    </w:rPr>
  </w:style>
  <w:style w:type="paragraph" w:styleId="Ttulo">
    <w:name w:val="Título"/>
    <w:basedOn w:val="Normal"/>
    <w:next w:val="Cuerpodetexto"/>
    <w:qFormat w:val="1"/>
    <w:pPr>
      <w:keepNext w:val="1"/>
      <w:spacing w:after="120" w:before="240"/>
    </w:pPr>
    <w:rPr>
      <w:rFonts w:ascii="Liberation Sans" w:cs="Lucida Sans" w:eastAsia="Microsoft YaHei"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Lucida Sans"/>
    </w:rPr>
  </w:style>
  <w:style w:type="paragraph" w:styleId="Leyenda">
    <w:name w:val="Caption"/>
    <w:basedOn w:val="Normal"/>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LOnormal">
    <w:name w:val="LO-normal"/>
    <w:qFormat w:val="1"/>
    <w:pPr>
      <w:widowControl w:val="1"/>
      <w:overflowPunct w:val="0"/>
      <w:bidi w:val="0"/>
      <w:spacing w:after="60" w:before="120" w:line="240" w:lineRule="auto"/>
      <w:jc w:val="left"/>
    </w:pPr>
    <w:rPr>
      <w:rFonts w:ascii="Tahoma" w:cs="Tahoma" w:eastAsia="Tahoma" w:hAnsi="Tahoma"/>
      <w:color w:val="auto"/>
      <w:kern w:val="0"/>
      <w:sz w:val="20"/>
      <w:szCs w:val="20"/>
      <w:lang w:bidi="hi-IN" w:eastAsia="zh-CN" w:val="es-MX"/>
    </w:rPr>
  </w:style>
  <w:style w:type="paragraph" w:styleId="Titular">
    <w:name w:val="Title"/>
    <w:basedOn w:val="LOnormal"/>
    <w:next w:val="LOnormal"/>
    <w:qFormat w:val="1"/>
    <w:pPr>
      <w:spacing w:after="60" w:before="240" w:line="240" w:lineRule="auto"/>
      <w:jc w:val="right"/>
    </w:pPr>
    <w:rPr>
      <w:rFonts w:ascii="Calibri" w:cs="Calibri" w:eastAsia="Calibri" w:hAnsi="Calibri"/>
      <w:sz w:val="28"/>
      <w:szCs w:val="28"/>
    </w:rPr>
  </w:style>
  <w:style w:type="paragraph" w:styleId="Subttulo">
    <w:name w:val="Subtitle"/>
    <w:basedOn w:val="LOnormal"/>
    <w:next w:val="LOnormal"/>
    <w:qFormat w:val="1"/>
    <w:pPr>
      <w:keepNext w:val="1"/>
      <w:spacing w:after="120" w:before="240" w:line="240" w:lineRule="auto"/>
      <w:jc w:val="center"/>
    </w:pPr>
    <w:rPr>
      <w:rFonts w:ascii="Arial" w:cs="Arial" w:eastAsia="Arial" w:hAnsi="Arial"/>
      <w:i w:val="1"/>
      <w:sz w:val="28"/>
      <w:szCs w:val="28"/>
    </w:rPr>
  </w:style>
  <w:style w:type="paragraph" w:styleId="Cabeceraypie">
    <w:name w:val="Cabecera y pie"/>
    <w:basedOn w:val="Normal"/>
    <w:qFormat w:val="1"/>
    <w:pPr/>
    <w:rPr/>
  </w:style>
  <w:style w:type="paragraph" w:styleId="Cabecera">
    <w:name w:val="Header"/>
    <w:basedOn w:val="Cabeceraypie"/>
    <w:pPr/>
    <w:rPr/>
  </w:style>
  <w:style w:type="paragraph" w:styleId="Piedepgina">
    <w:name w:val="Footer"/>
    <w:basedOn w:val="Cabeceraypie"/>
    <w:pPr/>
    <w:rPr/>
  </w:style>
  <w:style w:type="paragraph" w:styleId="Contenidodelatabla">
    <w:name w:val="Contenido de la tabla"/>
    <w:basedOn w:val="Normal"/>
    <w:qFormat w:val="1"/>
    <w:pPr>
      <w:suppressLineNumbers w:val="1"/>
    </w:pPr>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jUDWTxorNxh6syz5iY8GjM8bw==">CgMxLjAyCGguZ2pkZ3hzMgloLjMwajB6bGwyCWguMWZvYjl0ZTgAciExM3JacGtQdndHMlpPQ0RPalNmeWdVYlRuQ3NiTFBseFo=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46809EF-D67C-4E64-94EC-56DEE89E43B6}"/>
</file>

<file path=customXML/itemProps3.xml><?xml version="1.0" encoding="utf-8"?>
<ds:datastoreItem xmlns:ds="http://schemas.openxmlformats.org/officeDocument/2006/customXml" ds:itemID="{790AC334-A096-4AD7-AB49-89BF9AFA4497}"/>
</file>

<file path=customXML/itemProps4.xml><?xml version="1.0" encoding="utf-8"?>
<ds:datastoreItem xmlns:ds="http://schemas.openxmlformats.org/officeDocument/2006/customXml" ds:itemID="{658DB8C4-E394-4DD6-AC5E-A02D84A2D15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